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66254A" w:rsidRDefault="00340369" w:rsidP="0054166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</w:t>
      </w:r>
      <w:r w:rsidR="00021BD5"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021BD5">
        <w:rPr>
          <w:rFonts w:ascii="Garamond" w:hAnsi="Garamond" w:cs="Times New Roman"/>
          <w:sz w:val="24"/>
          <w:szCs w:val="24"/>
        </w:rPr>
        <w:t>a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 w:rsidR="00021BD5">
        <w:rPr>
          <w:rFonts w:ascii="Garamond" w:hAnsi="Garamond" w:cs="Times New Roman"/>
          <w:b/>
          <w:sz w:val="24"/>
          <w:szCs w:val="24"/>
        </w:rPr>
        <w:t>2,2552</w:t>
      </w:r>
      <w:r w:rsidR="0066254A">
        <w:rPr>
          <w:rFonts w:ascii="Garamond" w:hAnsi="Garamond" w:cs="Times New Roman"/>
          <w:b/>
          <w:sz w:val="24"/>
          <w:szCs w:val="24"/>
        </w:rPr>
        <w:t xml:space="preserve">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021BD5"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54166E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073C50">
        <w:rPr>
          <w:rFonts w:ascii="Garamond" w:hAnsi="Garamond" w:cs="Arial"/>
          <w:b/>
          <w:sz w:val="28"/>
          <w:szCs w:val="28"/>
          <w:u w:val="single"/>
        </w:rPr>
        <w:t>576</w:t>
      </w:r>
      <w:r w:rsidR="00021BD5">
        <w:rPr>
          <w:rFonts w:ascii="Garamond" w:hAnsi="Garamond" w:cs="Arial"/>
          <w:b/>
          <w:sz w:val="28"/>
          <w:szCs w:val="28"/>
          <w:u w:val="single"/>
        </w:rPr>
        <w:t>.</w:t>
      </w:r>
      <w:r w:rsidR="00103264">
        <w:rPr>
          <w:rFonts w:ascii="Garamond" w:hAnsi="Garamond" w:cs="Arial"/>
          <w:b/>
          <w:sz w:val="28"/>
          <w:szCs w:val="28"/>
          <w:u w:val="single"/>
        </w:rPr>
        <w:t>3</w:t>
      </w:r>
      <w:r w:rsidR="00021BD5">
        <w:rPr>
          <w:rFonts w:ascii="Garamond" w:hAnsi="Garamond" w:cs="Arial"/>
          <w:b/>
          <w:sz w:val="28"/>
          <w:szCs w:val="28"/>
          <w:u w:val="single"/>
        </w:rPr>
        <w:t>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073C50">
        <w:rPr>
          <w:rFonts w:ascii="Garamond" w:hAnsi="Garamond" w:cs="Arial"/>
          <w:b/>
          <w:sz w:val="28"/>
          <w:szCs w:val="28"/>
          <w:u w:val="single"/>
        </w:rPr>
        <w:t>57.6</w:t>
      </w:r>
      <w:r w:rsidR="00103264">
        <w:rPr>
          <w:rFonts w:ascii="Garamond" w:hAnsi="Garamond" w:cs="Arial"/>
          <w:b/>
          <w:sz w:val="28"/>
          <w:szCs w:val="28"/>
          <w:u w:val="single"/>
        </w:rPr>
        <w:t>3</w:t>
      </w:r>
      <w:r w:rsidR="00073C50">
        <w:rPr>
          <w:rFonts w:ascii="Garamond" w:hAnsi="Garamond" w:cs="Arial"/>
          <w:b/>
          <w:sz w:val="28"/>
          <w:szCs w:val="28"/>
          <w:u w:val="single"/>
        </w:rPr>
        <w:t>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 w:rsidR="00021BD5"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 w:rsidR="00021BD5">
              <w:rPr>
                <w:rFonts w:ascii="Garamond" w:eastAsia="Times New Roman" w:hAnsi="Garamond" w:cs="Times New Roman"/>
                <w:sz w:val="20"/>
                <w:szCs w:val="20"/>
              </w:rPr>
              <w:t>2,2552</w:t>
            </w:r>
            <w:r w:rsidR="00B10E5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9E596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niezabudowana, wykorzystywana rolniczo – bezumownie. </w:t>
            </w:r>
            <w:r w:rsidR="009E596E">
              <w:rPr>
                <w:rFonts w:ascii="Garamond" w:eastAsia="Times New Roman" w:hAnsi="Garamond" w:cs="Times New Roman"/>
                <w:sz w:val="20"/>
                <w:szCs w:val="20"/>
              </w:rPr>
              <w:t>Wzdłuż działki nr 80, jej północnej granicy z działką nr 79 przebiega rów melioracyjny, który pełni funkcję odwodnienia terenu.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 w:rsidR="0079763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9E596E" w:rsidP="00F23E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Północno - 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wschodnia część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nieruchomości 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>objęt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jest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obowiązującą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zmianą miejscowego planu zagospodarowania przestrzennego miasta Gubin uchwalonego przez Radę Miejską w Gubinie uchwałą nr XLIII/356/2002 z dnia 21 lutego 2002 r., oznaczon</w:t>
            </w:r>
            <w:r w:rsidR="00F23EC5"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F23EC5">
              <w:rPr>
                <w:rFonts w:ascii="Garamond" w:eastAsia="Times New Roman" w:hAnsi="Garamond" w:cs="Times New Roman"/>
                <w:sz w:val="20"/>
                <w:szCs w:val="20"/>
              </w:rPr>
              <w:t>jest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w planie symbolem P,KS,IT jako teren lokalizacji obiektów o funkcji produkcyjno – technicznej, gdzie powierzchnia sprzedażowa obiektów handlowych nie może przekroczyć 1000 m², teren lokalizacji obiektów i urządzeń obsługi komunikacji samochodowej oraz obiektów i urządzeń infras</w:t>
            </w:r>
            <w:r w:rsidR="00551123">
              <w:rPr>
                <w:rFonts w:ascii="Garamond" w:eastAsia="Times New Roman" w:hAnsi="Garamond" w:cs="Times New Roman"/>
                <w:sz w:val="20"/>
                <w:szCs w:val="20"/>
              </w:rPr>
              <w:t>truktury technicznej. Na teren nie objęty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obowiązującym planem zagospodarowania przestr</w:t>
            </w:r>
            <w:r w:rsidR="00551123">
              <w:rPr>
                <w:rFonts w:ascii="Garamond" w:eastAsia="Times New Roman" w:hAnsi="Garamond" w:cs="Times New Roman"/>
                <w:sz w:val="20"/>
                <w:szCs w:val="20"/>
              </w:rPr>
              <w:t>zennego (zachodnia część działki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) została wydana decyzja o warunkach zabudowy nr GB.6730.40.2011.W z dnia 18.04.2011 roku dla inwestycji polegającej na budowie obiektów produkcyjno – usługowych.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8352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wodno – kanalizacyjna, telefoniczna. </w:t>
            </w:r>
          </w:p>
        </w:tc>
      </w:tr>
    </w:tbl>
    <w:p w:rsidR="00340369" w:rsidRPr="00B02899" w:rsidRDefault="00340369" w:rsidP="00B10E5F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</w:t>
      </w:r>
      <w:r w:rsidR="0079763C"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551123">
        <w:rPr>
          <w:rFonts w:ascii="Garamond" w:hAnsi="Garamond"/>
          <w:bCs w:val="0"/>
          <w:sz w:val="20"/>
          <w:szCs w:val="20"/>
          <w:u w:val="single"/>
        </w:rPr>
        <w:t>2</w:t>
      </w:r>
      <w:r w:rsidR="000E2D0B">
        <w:rPr>
          <w:rFonts w:ascii="Garamond" w:hAnsi="Garamond"/>
          <w:bCs w:val="0"/>
          <w:sz w:val="20"/>
          <w:szCs w:val="20"/>
          <w:u w:val="single"/>
        </w:rPr>
        <w:t>9</w:t>
      </w:r>
      <w:r w:rsidR="00103264">
        <w:rPr>
          <w:rFonts w:ascii="Garamond" w:hAnsi="Garamond"/>
          <w:bCs w:val="0"/>
          <w:sz w:val="20"/>
          <w:szCs w:val="20"/>
          <w:u w:val="single"/>
        </w:rPr>
        <w:t xml:space="preserve"> sierpnia</w:t>
      </w:r>
      <w:r w:rsidRPr="00B02899">
        <w:rPr>
          <w:rFonts w:ascii="Garamond" w:hAnsi="Garamond"/>
          <w:sz w:val="20"/>
          <w:szCs w:val="20"/>
          <w:u w:val="single"/>
        </w:rPr>
        <w:t xml:space="preserve"> </w:t>
      </w:r>
      <w:r w:rsidR="00103264">
        <w:rPr>
          <w:rFonts w:ascii="Garamond" w:hAnsi="Garamond"/>
          <w:sz w:val="20"/>
          <w:szCs w:val="20"/>
          <w:u w:val="single"/>
        </w:rPr>
        <w:t xml:space="preserve">2019 </w:t>
      </w:r>
      <w:r w:rsidRPr="00B02899">
        <w:rPr>
          <w:rFonts w:ascii="Garamond" w:hAnsi="Garamond"/>
          <w:sz w:val="20"/>
          <w:szCs w:val="20"/>
          <w:u w:val="single"/>
        </w:rPr>
        <w:t xml:space="preserve">r. o godz. </w:t>
      </w:r>
      <w:r w:rsidR="00103264">
        <w:rPr>
          <w:rFonts w:ascii="Garamond" w:hAnsi="Garamond"/>
          <w:sz w:val="20"/>
          <w:szCs w:val="20"/>
          <w:u w:val="single"/>
        </w:rPr>
        <w:t>11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0E2D0B">
        <w:rPr>
          <w:rFonts w:ascii="Garamond" w:hAnsi="Garamond"/>
          <w:sz w:val="20"/>
          <w:szCs w:val="20"/>
          <w:u w:val="single"/>
        </w:rPr>
        <w:t>26</w:t>
      </w:r>
      <w:r w:rsidR="00103264">
        <w:rPr>
          <w:rFonts w:ascii="Garamond" w:hAnsi="Garamond"/>
          <w:sz w:val="20"/>
          <w:szCs w:val="20"/>
          <w:u w:val="single"/>
        </w:rPr>
        <w:t xml:space="preserve"> sierpnia </w:t>
      </w:r>
      <w:r w:rsidR="00551123">
        <w:rPr>
          <w:rFonts w:ascii="Garamond" w:hAnsi="Garamond"/>
          <w:sz w:val="20"/>
          <w:szCs w:val="20"/>
          <w:u w:val="single"/>
        </w:rPr>
        <w:t>201</w:t>
      </w:r>
      <w:r w:rsidR="00103264">
        <w:rPr>
          <w:rFonts w:ascii="Garamond" w:hAnsi="Garamond"/>
          <w:sz w:val="20"/>
          <w:szCs w:val="20"/>
          <w:u w:val="single"/>
        </w:rPr>
        <w:t xml:space="preserve">9 </w:t>
      </w:r>
      <w:r w:rsidRPr="00B02899">
        <w:rPr>
          <w:rFonts w:ascii="Garamond" w:hAnsi="Garamond"/>
          <w:sz w:val="20"/>
          <w:szCs w:val="20"/>
          <w:u w:val="single"/>
        </w:rPr>
        <w:t>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915F19" w:rsidRPr="00233C18" w:rsidRDefault="00915F19" w:rsidP="00915F19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Na podstawie map zagrożenia powodziowego i map ryzyka  powodziowego teren nieruchomości znajdują się na obszarze, na którym prawdopodobieństwo występowania powodzi jest niskie i wynosi 0,2%. Ponadto teren znajduje się w strefie Q</w:t>
      </w:r>
      <w:r>
        <w:rPr>
          <w:rFonts w:ascii="Garamond" w:eastAsia="Times New Roman" w:hAnsi="Garamond" w:cs="Times New Roman"/>
          <w:sz w:val="20"/>
          <w:szCs w:val="20"/>
          <w:vertAlign w:val="subscript"/>
        </w:rPr>
        <w:t xml:space="preserve">1%, </w:t>
      </w:r>
      <w:r>
        <w:rPr>
          <w:rFonts w:ascii="Garamond" w:eastAsia="Times New Roman" w:hAnsi="Garamond" w:cs="Times New Roman"/>
          <w:sz w:val="20"/>
          <w:szCs w:val="20"/>
        </w:rPr>
        <w:t>która stanowi obszar szczególnego zagrożenia powodzią (średnie prawdopodobieństwo występowania powodzi). Lokalizacja nowej zabudowy na terenach szczególnego zagrożenia powodzią możliwa jest po uzyskaniu pozwolenia wodnoprawnego, zgodnie z art. 390, ust 1 pkt 1 b ustawy Prawo wodne (t. j. Dz. U. z 2018 r., poz. 2068 z późn. zm.).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073C50">
        <w:rPr>
          <w:rFonts w:ascii="Garamond" w:hAnsi="Garamond" w:cs="Arial"/>
          <w:sz w:val="20"/>
          <w:szCs w:val="20"/>
        </w:rPr>
        <w:t>7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073C50">
        <w:rPr>
          <w:rFonts w:ascii="Garamond" w:hAnsi="Garamond" w:cs="Arial"/>
          <w:sz w:val="20"/>
          <w:szCs w:val="20"/>
        </w:rPr>
        <w:t>2278</w:t>
      </w:r>
      <w:r w:rsidR="00843F21" w:rsidRPr="00843F21">
        <w:rPr>
          <w:rFonts w:ascii="Garamond" w:hAnsi="Garamond" w:cs="Arial"/>
          <w:sz w:val="20"/>
          <w:szCs w:val="20"/>
        </w:rPr>
        <w:t>).</w:t>
      </w:r>
    </w:p>
    <w:p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(t.j. Dz. U. z 201</w:t>
      </w:r>
      <w:r w:rsidR="00551123">
        <w:rPr>
          <w:rFonts w:ascii="Garamond" w:eastAsia="Times New Roman" w:hAnsi="Garamond" w:cs="Times New Roman"/>
          <w:sz w:val="20"/>
          <w:szCs w:val="20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073C50">
        <w:rPr>
          <w:rFonts w:ascii="Garamond" w:eastAsia="Times New Roman" w:hAnsi="Garamond" w:cs="Times New Roman"/>
          <w:sz w:val="20"/>
          <w:szCs w:val="20"/>
        </w:rPr>
        <w:t>2204</w:t>
      </w:r>
      <w:r>
        <w:rPr>
          <w:rFonts w:ascii="Garamond" w:eastAsia="Times New Roman" w:hAnsi="Garamond" w:cs="Times New Roman"/>
          <w:sz w:val="20"/>
          <w:szCs w:val="20"/>
        </w:rPr>
        <w:t xml:space="preserve"> z późn.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B10E5F" w:rsidRPr="00DA6107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</w:t>
      </w:r>
      <w:r w:rsidRPr="00DA6107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od dnia </w:t>
      </w:r>
      <w:r w:rsidR="007613DE">
        <w:rPr>
          <w:rFonts w:ascii="Garamond" w:eastAsia="Times New Roman" w:hAnsi="Garamond" w:cs="Times New Roman"/>
          <w:b/>
          <w:bCs/>
          <w:sz w:val="20"/>
          <w:szCs w:val="20"/>
        </w:rPr>
        <w:t>27</w:t>
      </w:r>
      <w:bookmarkStart w:id="0" w:name="_GoBack"/>
      <w:bookmarkEnd w:id="0"/>
      <w:r w:rsidR="00DA6107" w:rsidRPr="00DA610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czerwca 2019</w:t>
      </w:r>
      <w:r w:rsidRPr="00DA6107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 r.</w:t>
      </w:r>
    </w:p>
    <w:p w:rsidR="00D442B9" w:rsidRPr="00144205" w:rsidRDefault="00B10E5F" w:rsidP="00D442B9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Gospodarki Przestrzennej Urzędu Miejskiego w Gubinie,  ul. Piastowska 24, tel. (68) 45581</w:t>
      </w:r>
      <w:r w:rsidR="00073C50">
        <w:rPr>
          <w:rFonts w:ascii="Garamond" w:eastAsia="Times New Roman" w:hAnsi="Garamond" w:cs="Times New Roman"/>
          <w:sz w:val="20"/>
          <w:szCs w:val="20"/>
        </w:rPr>
        <w:t>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D442B9">
        <w:rPr>
          <w:rFonts w:ascii="Garamond" w:eastAsia="Times New Roman" w:hAnsi="Garamond"/>
          <w:sz w:val="20"/>
          <w:szCs w:val="20"/>
        </w:rPr>
        <w:t xml:space="preserve">Ogłoszenie o przetargu jest zamieszczone na stronie internetowej Urzędu Miejskiego w Gubinie </w:t>
      </w:r>
      <w:hyperlink r:id="rId9" w:history="1">
        <w:r w:rsidR="00D442B9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D442B9">
        <w:rPr>
          <w:rFonts w:ascii="Garamond" w:eastAsia="Times New Roman" w:hAnsi="Garamond"/>
          <w:sz w:val="20"/>
          <w:szCs w:val="20"/>
        </w:rPr>
        <w:t xml:space="preserve">, </w:t>
      </w:r>
      <w:r w:rsidR="00D442B9">
        <w:rPr>
          <w:rFonts w:ascii="Garamond" w:hAnsi="Garamond"/>
          <w:sz w:val="20"/>
          <w:szCs w:val="20"/>
        </w:rPr>
        <w:t xml:space="preserve">www.przetargi-komunikaty.pl. </w:t>
      </w:r>
    </w:p>
    <w:p w:rsidR="00D442B9" w:rsidRPr="00D442B9" w:rsidRDefault="00D442B9" w:rsidP="00B10E5F">
      <w:pPr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</w:p>
    <w:p w:rsidR="000D6D93" w:rsidRPr="00B02899" w:rsidRDefault="000D6D93" w:rsidP="00B10E5F">
      <w:pPr>
        <w:ind w:left="142"/>
        <w:rPr>
          <w:sz w:val="20"/>
          <w:szCs w:val="20"/>
        </w:rPr>
      </w:pP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73C50"/>
    <w:rsid w:val="000D6D93"/>
    <w:rsid w:val="000E2D0B"/>
    <w:rsid w:val="00103264"/>
    <w:rsid w:val="002B1D2F"/>
    <w:rsid w:val="00340369"/>
    <w:rsid w:val="004A1C5D"/>
    <w:rsid w:val="00535346"/>
    <w:rsid w:val="0054166E"/>
    <w:rsid w:val="00551123"/>
    <w:rsid w:val="0066254A"/>
    <w:rsid w:val="00715502"/>
    <w:rsid w:val="00752A55"/>
    <w:rsid w:val="007613DE"/>
    <w:rsid w:val="0079763C"/>
    <w:rsid w:val="008352BB"/>
    <w:rsid w:val="00843F21"/>
    <w:rsid w:val="00915F19"/>
    <w:rsid w:val="009E596E"/>
    <w:rsid w:val="00A11FFA"/>
    <w:rsid w:val="00A63DB4"/>
    <w:rsid w:val="00B02899"/>
    <w:rsid w:val="00B10E5F"/>
    <w:rsid w:val="00B4768C"/>
    <w:rsid w:val="00BD4123"/>
    <w:rsid w:val="00C70E9E"/>
    <w:rsid w:val="00CD6D65"/>
    <w:rsid w:val="00D442B9"/>
    <w:rsid w:val="00DA6107"/>
    <w:rsid w:val="00E3222C"/>
    <w:rsid w:val="00F23EC5"/>
    <w:rsid w:val="00F37951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ED8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semiHidden/>
    <w:unhideWhenUsed/>
    <w:rsid w:val="00D442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C969-241E-4E00-B76E-932680A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5</cp:revision>
  <cp:lastPrinted>2019-06-14T07:30:00Z</cp:lastPrinted>
  <dcterms:created xsi:type="dcterms:W3CDTF">2019-06-17T10:02:00Z</dcterms:created>
  <dcterms:modified xsi:type="dcterms:W3CDTF">2019-06-25T08:46:00Z</dcterms:modified>
</cp:coreProperties>
</file>