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1F74" wp14:editId="5C53723E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20375" wp14:editId="484B8B40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01F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">
                <v:textbox>
                  <w:txbxContent>
                    <w:p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020375" wp14:editId="484B8B40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:rsidR="0065474A" w:rsidRPr="00635FBB" w:rsidRDefault="0065474A" w:rsidP="00EA4EFB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>Przetarg ustny ograniczony na zbycie nieruchomości gruntowej, niezabudowanej z przeznaczeniem na poprawę warunków zagospodarowania przyległej nieruchomości.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65474A" w:rsidTr="00D03D9F">
        <w:trPr>
          <w:jc w:val="center"/>
        </w:trPr>
        <w:tc>
          <w:tcPr>
            <w:tcW w:w="567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:rsidTr="00D03D9F">
        <w:trPr>
          <w:jc w:val="center"/>
        </w:trPr>
        <w:tc>
          <w:tcPr>
            <w:tcW w:w="567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140088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241/6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 w:rsidR="00140088">
              <w:rPr>
                <w:rFonts w:ascii="Garamond" w:hAnsi="Garamond"/>
                <w:b w:val="0"/>
                <w:sz w:val="20"/>
                <w:szCs w:val="20"/>
              </w:rPr>
              <w:t>129</w:t>
            </w:r>
          </w:p>
          <w:p w:rsidR="0065474A" w:rsidRPr="00972DCE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5474A" w:rsidRPr="00972DCE" w:rsidRDefault="0065474A" w:rsidP="00140088">
            <w:pPr>
              <w:pStyle w:val="Tekstpodstawowy"/>
              <w:ind w:left="-567" w:right="-426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65474A" w:rsidRPr="00CE0F5A" w:rsidRDefault="0065474A" w:rsidP="00140088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ul. </w:t>
            </w:r>
            <w:r w:rsidR="00B95D4E">
              <w:rPr>
                <w:rFonts w:ascii="Garamond" w:hAnsi="Garamond"/>
                <w:b w:val="0"/>
                <w:sz w:val="16"/>
                <w:szCs w:val="16"/>
              </w:rPr>
              <w:t>Przemysł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ow</w:t>
            </w:r>
            <w:r>
              <w:rPr>
                <w:rFonts w:ascii="Garamond" w:hAnsi="Garamond"/>
                <w:b w:val="0"/>
                <w:sz w:val="16"/>
                <w:szCs w:val="16"/>
              </w:rPr>
              <w:t>a</w:t>
            </w:r>
          </w:p>
          <w:p w:rsidR="0065474A" w:rsidRPr="00972DCE" w:rsidRDefault="00140088" w:rsidP="00140088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4.</w:t>
            </w:r>
            <w:r w:rsidR="00140088">
              <w:rPr>
                <w:rFonts w:ascii="Garamond" w:hAnsi="Garamond"/>
                <w:b w:val="0"/>
                <w:sz w:val="20"/>
                <w:szCs w:val="20"/>
              </w:rPr>
              <w:t>2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4</w:t>
            </w:r>
            <w:r w:rsidR="00140088">
              <w:rPr>
                <w:rFonts w:ascii="Garamond" w:hAnsi="Garamond"/>
                <w:b w:val="0"/>
                <w:sz w:val="20"/>
                <w:szCs w:val="20"/>
              </w:rPr>
              <w:t>2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65474A" w:rsidRDefault="0065474A" w:rsidP="00EA4EFB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Na dzień oględzin teren działki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wykorzystywany jest przez właścicieli nieruchomości sąsiedniej. Działka częściowo ogrodzona i zagospodarowana. </w:t>
            </w:r>
          </w:p>
        </w:tc>
      </w:tr>
    </w:tbl>
    <w:p w:rsidR="0065474A" w:rsidRDefault="0065474A" w:rsidP="0065474A">
      <w:pPr>
        <w:pStyle w:val="Tekstpodstawowy"/>
        <w:ind w:left="-567" w:right="-426"/>
        <w:jc w:val="both"/>
        <w:rPr>
          <w:rFonts w:ascii="Garamond" w:hAnsi="Garamond"/>
        </w:rPr>
      </w:pPr>
    </w:p>
    <w:p w:rsidR="0065474A" w:rsidRPr="001F2413" w:rsidRDefault="0065474A" w:rsidP="0065474A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nieruchomości przyległych, położonych w obrębie </w:t>
      </w:r>
      <w:r w:rsidR="0043454D">
        <w:rPr>
          <w:rFonts w:ascii="Garamond" w:hAnsi="Garamond"/>
          <w:sz w:val="16"/>
          <w:szCs w:val="16"/>
        </w:rPr>
        <w:t>7</w:t>
      </w:r>
      <w:bookmarkStart w:id="0" w:name="_GoBack"/>
      <w:bookmarkEnd w:id="0"/>
      <w:r w:rsidRPr="001F2413">
        <w:rPr>
          <w:rFonts w:ascii="Garamond" w:hAnsi="Garamond"/>
          <w:sz w:val="16"/>
          <w:szCs w:val="16"/>
        </w:rPr>
        <w:t xml:space="preserve"> m. Gubina oznaczonych jako dz. nr </w:t>
      </w:r>
      <w:r w:rsidR="00140088">
        <w:rPr>
          <w:rFonts w:ascii="Garamond" w:hAnsi="Garamond"/>
          <w:sz w:val="16"/>
          <w:szCs w:val="16"/>
        </w:rPr>
        <w:t>242/1 i 241/5</w:t>
      </w:r>
      <w:r w:rsidRPr="001F2413">
        <w:rPr>
          <w:rFonts w:ascii="Garamond" w:hAnsi="Garamond"/>
          <w:sz w:val="16"/>
          <w:szCs w:val="16"/>
        </w:rPr>
        <w:t>.</w:t>
      </w:r>
    </w:p>
    <w:p w:rsidR="000F1A94" w:rsidRPr="001F2413" w:rsidRDefault="0065474A" w:rsidP="00EC226C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031C44">
        <w:rPr>
          <w:rFonts w:ascii="Garamond" w:hAnsi="Garamond"/>
          <w:bCs w:val="0"/>
          <w:sz w:val="16"/>
          <w:szCs w:val="16"/>
          <w:u w:val="single"/>
        </w:rPr>
        <w:t>12 grudnia 2019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</w:t>
      </w:r>
      <w:r w:rsidR="00031C44">
        <w:rPr>
          <w:rFonts w:ascii="Garamond" w:hAnsi="Garamond"/>
          <w:sz w:val="16"/>
          <w:szCs w:val="16"/>
          <w:u w:val="single"/>
        </w:rPr>
        <w:t>0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031C44">
        <w:rPr>
          <w:rFonts w:ascii="Garamond" w:hAnsi="Garamond"/>
          <w:sz w:val="16"/>
          <w:szCs w:val="16"/>
        </w:rPr>
        <w:t>9 grudnia 2019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031C44">
        <w:rPr>
          <w:rFonts w:ascii="Garamond" w:hAnsi="Garamond"/>
          <w:bCs w:val="0"/>
          <w:sz w:val="16"/>
          <w:szCs w:val="16"/>
          <w:u w:val="single"/>
        </w:rPr>
        <w:t>9 grudnia 2019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Gospodarki Przestrzennej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Urzędu Miejskiego w Gubinie (pok. nr 104), ul. Piastowska 24.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EA4EFB" w:rsidRPr="001F2413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5A0AEB" w:rsidRPr="001F2413" w:rsidRDefault="00EC226C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w/w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Przetarg przeprowadzi komisja w składzie wyznaczonym w § 1 Zarządzenia nr I/2010 Burmistrza Miasta Gubina z dnia 5 stycznia 2010 r.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lastRenderedPageBreak/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201</w:t>
      </w:r>
      <w:r w:rsidR="000F1A94">
        <w:rPr>
          <w:rFonts w:ascii="Garamond" w:hAnsi="Garamond"/>
          <w:sz w:val="16"/>
          <w:szCs w:val="16"/>
        </w:rPr>
        <w:t>8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140088">
        <w:rPr>
          <w:rFonts w:ascii="Garamond" w:hAnsi="Garamond"/>
          <w:sz w:val="16"/>
          <w:szCs w:val="16"/>
        </w:rPr>
        <w:t>2204</w:t>
      </w:r>
      <w:r w:rsidRPr="001F2413">
        <w:rPr>
          <w:rFonts w:ascii="Garamond" w:hAnsi="Garamond"/>
          <w:sz w:val="16"/>
          <w:szCs w:val="16"/>
        </w:rPr>
        <w:t xml:space="preserve"> z </w:t>
      </w:r>
      <w:proofErr w:type="spellStart"/>
      <w:r w:rsidRPr="001F2413">
        <w:rPr>
          <w:rFonts w:ascii="Garamond" w:hAnsi="Garamond"/>
          <w:sz w:val="16"/>
          <w:szCs w:val="16"/>
        </w:rPr>
        <w:t>późn</w:t>
      </w:r>
      <w:proofErr w:type="spellEnd"/>
      <w:r w:rsidRPr="001F2413">
        <w:rPr>
          <w:rFonts w:ascii="Garamond" w:hAnsi="Garamond"/>
          <w:sz w:val="16"/>
          <w:szCs w:val="16"/>
        </w:rPr>
        <w:t>. zm.). Przetarg zostanie przeprowadzony zgodnie z Rozporządzeniem Rady Ministrów z dnia 14 września 2004 r. w sprawie sposobu i trybu przeprowadzania przetargów oraz rokowań na zbycie nieruchomości (j.t. Dz. U. z 2014 r., poz. 1490).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140088">
        <w:rPr>
          <w:rFonts w:ascii="Garamond" w:hAnsi="Garamond"/>
          <w:sz w:val="16"/>
          <w:szCs w:val="16"/>
        </w:rPr>
        <w:t>7 listopada 2019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Gospodarki Przestrzennej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8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9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1"/>
    <w:rsid w:val="00031C44"/>
    <w:rsid w:val="000F1A94"/>
    <w:rsid w:val="00140088"/>
    <w:rsid w:val="00194BE5"/>
    <w:rsid w:val="001F4D03"/>
    <w:rsid w:val="002230CB"/>
    <w:rsid w:val="0043454D"/>
    <w:rsid w:val="005A0AEB"/>
    <w:rsid w:val="005A760B"/>
    <w:rsid w:val="00635FBB"/>
    <w:rsid w:val="0065474A"/>
    <w:rsid w:val="006C59E9"/>
    <w:rsid w:val="0076391A"/>
    <w:rsid w:val="00867531"/>
    <w:rsid w:val="008A1C2A"/>
    <w:rsid w:val="00B73F3E"/>
    <w:rsid w:val="00B95D4E"/>
    <w:rsid w:val="00CE0F5A"/>
    <w:rsid w:val="00D510D0"/>
    <w:rsid w:val="00DB0816"/>
    <w:rsid w:val="00EA22BE"/>
    <w:rsid w:val="00EA4EFB"/>
    <w:rsid w:val="00EC226C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2019-10-28T07:29:00Z</cp:lastPrinted>
  <dcterms:created xsi:type="dcterms:W3CDTF">2018-04-18T06:14:00Z</dcterms:created>
  <dcterms:modified xsi:type="dcterms:W3CDTF">2019-10-28T07:33:00Z</dcterms:modified>
</cp:coreProperties>
</file>