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CB" w:rsidRPr="000B59C1" w:rsidRDefault="000643CB" w:rsidP="000643CB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03A8808" wp14:editId="40817A8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3CB" w:rsidRPr="000B59C1" w:rsidRDefault="000643CB" w:rsidP="000643CB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643CB" w:rsidRPr="000B59C1" w:rsidRDefault="000643CB" w:rsidP="000643CB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643CB" w:rsidRPr="000B59C1" w:rsidRDefault="000643CB" w:rsidP="000643CB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643CB" w:rsidRPr="000B59C1" w:rsidRDefault="000643CB" w:rsidP="000643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643CB" w:rsidRPr="000B59C1" w:rsidRDefault="000643CB" w:rsidP="000643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643CB" w:rsidRPr="00437D2E" w:rsidRDefault="000643CB" w:rsidP="000643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</w:t>
      </w:r>
      <w:r w:rsidR="00437D2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usługowo-magazynowe</w:t>
      </w:r>
    </w:p>
    <w:p w:rsidR="000643CB" w:rsidRPr="000B59C1" w:rsidRDefault="000643CB" w:rsidP="000643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906"/>
        <w:gridCol w:w="1458"/>
        <w:gridCol w:w="1984"/>
        <w:gridCol w:w="5103"/>
      </w:tblGrid>
      <w:tr w:rsidR="000643CB" w:rsidRPr="000B59C1" w:rsidTr="00450F5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643CB" w:rsidRPr="000B59C1" w:rsidRDefault="000643CB" w:rsidP="00B0695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643CB" w:rsidRPr="000B59C1" w:rsidTr="00450F5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450F58" w:rsidP="00B0695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332/80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0643CB" w:rsidP="00450F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50F5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1398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450F5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Kaliska</w:t>
            </w:r>
          </w:p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39.9</w:t>
            </w:r>
            <w:r w:rsidR="000643CB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CB" w:rsidRPr="000B59C1" w:rsidRDefault="00450F58" w:rsidP="00450F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3.990</w:t>
            </w:r>
            <w:r w:rsidR="000643CB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3CB" w:rsidRPr="000B59C1" w:rsidRDefault="000643CB" w:rsidP="00B069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233062" w:rsidRDefault="000643CB" w:rsidP="0023306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</w:t>
            </w:r>
            <w:r w:rsidR="0023306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wschód od śródmieścia miasta w pośredniej strefie, sąsiedztwo stanowią tereny zabudowane domami mieszkalnymi. Działka zwrócona frontem w kierunku wschodnim – ul. Widok, od strony wschodniej graniczy z terenami niezabudowanymi z przebiegającą linią napowietrzną wysokiego napięcia, granica południowa przyległa do terenów zabudowy mieszkaniowej, granica północna do terenów przeznaczonych pod zabudowę. Teren działki nieogrodzony i niezagospodarowany. Dojazd drogą o nawierzchni nieutwardzone</w:t>
            </w:r>
            <w:r w:rsidR="004970B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j. Działka znajduje się w sąsiedztwie pasa przebiegu linii wysokiego napięcia WN 110 kW, z czego wynikają ograniczenia w sposobie zagospodarowania działki.</w:t>
            </w:r>
          </w:p>
          <w:p w:rsidR="000643CB" w:rsidRPr="000B59C1" w:rsidRDefault="000643CB" w:rsidP="00437D2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Zgodnie z decyzją o warunkach zabudowy nr GB.6730.</w:t>
            </w:r>
            <w:r w:rsidR="004970B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70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.2015.W  z dnia </w:t>
            </w:r>
            <w:r w:rsidR="004970B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.</w:t>
            </w:r>
            <w:r w:rsidR="004970B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.2015 r. przed wydaniem pozwolenia na budowę budynków </w:t>
            </w:r>
            <w:bookmarkStart w:id="0" w:name="_GoBack"/>
            <w:bookmarkEnd w:id="0"/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należy uzyskać w Starostwie Powiatowym w Krośnie Odrzańskim decyzję o wyłączeniu gruntów z produkcji rolnej. </w:t>
            </w:r>
            <w:r w:rsidR="00450F5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Część dz. objęta umową dzierżawy nr 48/13/TZ do dnia 31.12.2016 r.</w:t>
            </w:r>
          </w:p>
        </w:tc>
      </w:tr>
    </w:tbl>
    <w:p w:rsidR="00450F58" w:rsidRPr="00553564" w:rsidRDefault="00450F58" w:rsidP="00450F58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>I</w:t>
      </w:r>
      <w:r w:rsidRPr="00553564"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  <w:t xml:space="preserve"> przetarg ustny nieograniczony</w:t>
      </w:r>
    </w:p>
    <w:p w:rsidR="00450F58" w:rsidRDefault="00450F58" w:rsidP="00450F58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</w:pPr>
      <w:r w:rsidRPr="0055356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na </w:t>
      </w:r>
      <w:r w:rsidRPr="0055356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>sprzedaż</w:t>
      </w:r>
      <w:r w:rsidRPr="0055356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nieruchomości gruntowych z przeznaczeniem pod budownictwo mieszkaniowe.</w:t>
      </w:r>
    </w:p>
    <w:p w:rsidR="00450F58" w:rsidRPr="00553564" w:rsidRDefault="00450F58" w:rsidP="00450F58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</w:pPr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450F58" w:rsidRPr="00CF5782" w:rsidTr="00B069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553564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553564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553564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553564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553564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Cena wywoławcza</w:t>
            </w:r>
          </w:p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553564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553564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553564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odbytych.</w:t>
            </w:r>
          </w:p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58" w:rsidRPr="00553564" w:rsidRDefault="00450F58" w:rsidP="00B06951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16"/>
                <w:szCs w:val="16"/>
                <w:lang w:val="x-none" w:eastAsia="pl-PL"/>
              </w:rPr>
            </w:pPr>
          </w:p>
          <w:p w:rsidR="00450F58" w:rsidRPr="00553564" w:rsidRDefault="00450F58" w:rsidP="00B069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  <w:lang w:val="x-none" w:eastAsia="pl-PL"/>
              </w:rPr>
            </w:pPr>
            <w:r w:rsidRPr="00553564">
              <w:rPr>
                <w:rFonts w:ascii="Garamond" w:eastAsia="Times New Roman" w:hAnsi="Garamond"/>
                <w:b/>
                <w:bCs/>
                <w:sz w:val="16"/>
                <w:szCs w:val="16"/>
                <w:lang w:val="x-none" w:eastAsia="pl-PL"/>
              </w:rPr>
              <w:t>Uwagi</w:t>
            </w:r>
          </w:p>
          <w:p w:rsidR="00450F58" w:rsidRPr="00553564" w:rsidRDefault="00450F58" w:rsidP="00B06951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16"/>
                <w:szCs w:val="16"/>
                <w:lang w:val="x-none" w:eastAsia="pl-PL"/>
              </w:rPr>
            </w:pPr>
          </w:p>
        </w:tc>
      </w:tr>
      <w:tr w:rsidR="00450F58" w:rsidRPr="00CF5782" w:rsidTr="00B069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B06951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41/13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1153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ul. Długa</w:t>
            </w:r>
          </w:p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obręb 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450F5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31.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9</w:t>
            </w: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450F5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3.1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9</w:t>
            </w: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58" w:rsidRPr="00A21779" w:rsidRDefault="00450F58" w:rsidP="00B06951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 w:rsidRPr="00A21779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Przedmiotowa działka położona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jest w strefie peryferyjnej miasta. Dojazd do nieruchomości odbywa się drogą gruntową – ulica Długa. Kształt działki wielobok zbliżony do trójkąta. Teren nieruchomości lekko pochylony w kierunku północnym, porośnięty trawą, nieogrodzony i niezagospodarowany. Działka leży w zasięgu sieci: wodociągowej i elektroenergetycznej. Decyzja o warunkach zabudowy nr GB.6730.83.2014.W z dnia 20.10.2014 r.</w:t>
            </w:r>
          </w:p>
        </w:tc>
      </w:tr>
      <w:tr w:rsidR="00450F58" w:rsidRPr="00CF5782" w:rsidTr="00B069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B06951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41/15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ul. Długa</w:t>
            </w:r>
          </w:p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obręb 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450F5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3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</w:t>
            </w: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6</w:t>
            </w: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F58" w:rsidRPr="00450F58" w:rsidRDefault="00450F58" w:rsidP="00450F5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3.36</w:t>
            </w:r>
            <w:r w:rsidRPr="00450F58">
              <w:rPr>
                <w:rFonts w:ascii="Garamond" w:hAnsi="Garamond"/>
                <w:b w:val="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58" w:rsidRPr="00450F58" w:rsidRDefault="00450F58" w:rsidP="00B0695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58" w:rsidRPr="00A21779" w:rsidRDefault="00450F58" w:rsidP="00450F58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 w:rsidRPr="00A21779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Przedmiotowa działka położona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jest w strefie peryferyjnej miasta. Dojazd do nieruchomości odbywa się drogą gruntową – ulica Długa. Kształt działki prostokąt, teren płaski, porośnięty trawą.. Działka leży w zasięgu sieci: wodociągowej i elektroenergetycznej. Na dzień oględzin  działka nieogrodzona i niezagospodarowana, na działce stoi słup energetyczny i przebiega napowietrzna linia energetyczna. Decyzja o warunkach zabudowy nr GB.6730.83.2014.W z dnia 20.10.2014 r.</w:t>
            </w:r>
          </w:p>
        </w:tc>
      </w:tr>
    </w:tbl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450F5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14 lipca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2016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11.00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450F5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 lipca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450F58">
        <w:rPr>
          <w:rFonts w:ascii="Garamond" w:eastAsia="Times New Roman" w:hAnsi="Garamond" w:cs="Times New Roman"/>
          <w:sz w:val="20"/>
          <w:szCs w:val="20"/>
          <w:lang w:eastAsia="pl-PL"/>
        </w:rPr>
        <w:t>70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.2015.W z dnia </w:t>
      </w:r>
      <w:r w:rsidR="00450F58">
        <w:rPr>
          <w:rFonts w:ascii="Garamond" w:eastAsia="Times New Roman" w:hAnsi="Garamond" w:cs="Times New Roman"/>
          <w:sz w:val="20"/>
          <w:szCs w:val="20"/>
          <w:lang w:eastAsia="pl-PL"/>
        </w:rPr>
        <w:t>01.12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.2015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  <w:r w:rsidR="00450F58">
        <w:rPr>
          <w:rFonts w:ascii="Garamond" w:eastAsia="Times New Roman" w:hAnsi="Garamond" w:cs="Times New Roman"/>
          <w:sz w:val="20"/>
          <w:szCs w:val="20"/>
          <w:lang w:eastAsia="pl-PL"/>
        </w:rPr>
        <w:t>, GB.6730.83.2014.W z dnia 20.10.2014 r.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643CB" w:rsidRPr="000B59C1" w:rsidRDefault="000643CB" w:rsidP="000643CB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Dotyczy nieruchomości oddawanej w użytkowanie wieczyste: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</w:t>
      </w:r>
      <w:r w:rsidR="00450F58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5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1774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późn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643CB" w:rsidRPr="000B59C1" w:rsidRDefault="000643CB" w:rsidP="000643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09 czerwca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643CB" w:rsidRPr="000B59C1" w:rsidRDefault="000643CB" w:rsidP="000643CB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0643CB" w:rsidRDefault="000643CB" w:rsidP="000643CB"/>
    <w:p w:rsidR="00C912DE" w:rsidRDefault="00C912DE"/>
    <w:sectPr w:rsidR="00C912DE" w:rsidSect="004970B1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60"/>
    <w:rsid w:val="000643CB"/>
    <w:rsid w:val="00233062"/>
    <w:rsid w:val="0026589D"/>
    <w:rsid w:val="00437D2E"/>
    <w:rsid w:val="00450F58"/>
    <w:rsid w:val="004970B1"/>
    <w:rsid w:val="00511260"/>
    <w:rsid w:val="007D4394"/>
    <w:rsid w:val="00C70166"/>
    <w:rsid w:val="00C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6A2A5-E834-4939-B6E6-72B68852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50F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F5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2016-05-04T08:36:00Z</cp:lastPrinted>
  <dcterms:created xsi:type="dcterms:W3CDTF">2016-05-05T06:15:00Z</dcterms:created>
  <dcterms:modified xsi:type="dcterms:W3CDTF">2016-06-13T07:15:00Z</dcterms:modified>
</cp:coreProperties>
</file>