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B3" w:rsidRDefault="00EF7BD2" w:rsidP="00EF7BD2">
      <w:pPr>
        <w:keepNext/>
        <w:spacing w:after="0" w:line="240" w:lineRule="auto"/>
        <w:ind w:right="110"/>
        <w:outlineLvl w:val="0"/>
        <w:rPr>
          <w:rFonts w:ascii="Garamond" w:eastAsia="Times New Roman" w:hAnsi="Garamond" w:cs="Times New Roman"/>
          <w:b/>
          <w:sz w:val="56"/>
          <w:szCs w:val="56"/>
          <w:lang w:eastAsia="pl-PL"/>
        </w:rPr>
      </w:pPr>
      <w:r w:rsidRPr="00EF7BD2">
        <w:rPr>
          <w:rFonts w:ascii="Garamond" w:eastAsia="Times New Roman" w:hAnsi="Garamond" w:cs="Times New Roman"/>
          <w:b/>
          <w:bCs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A1359" wp14:editId="7F951BD0">
                <wp:simplePos x="0" y="0"/>
                <wp:positionH relativeFrom="column">
                  <wp:posOffset>109220</wp:posOffset>
                </wp:positionH>
                <wp:positionV relativeFrom="paragraph">
                  <wp:posOffset>168910</wp:posOffset>
                </wp:positionV>
                <wp:extent cx="1343025" cy="142875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D2" w:rsidRPr="004A5B5D" w:rsidRDefault="00EF7BD2" w:rsidP="00EF7BD2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EE3409C" wp14:editId="2F32709F">
                                  <wp:extent cx="1158240" cy="1123372"/>
                                  <wp:effectExtent l="0" t="0" r="3810" b="635"/>
                                  <wp:docPr id="1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280" cy="1144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A13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.6pt;margin-top:13.3pt;width:105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">
                <v:textbox>
                  <w:txbxContent>
                    <w:p w:rsidR="00EF7BD2" w:rsidRPr="004A5B5D" w:rsidRDefault="00EF7BD2" w:rsidP="00EF7BD2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E3409C" wp14:editId="2F32709F">
                            <wp:extent cx="1158240" cy="1123372"/>
                            <wp:effectExtent l="0" t="0" r="3810" b="635"/>
                            <wp:docPr id="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280" cy="1144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7BD2">
        <w:rPr>
          <w:rFonts w:ascii="Garamond" w:eastAsia="Times New Roman" w:hAnsi="Garamond" w:cs="Times New Roman"/>
          <w:b/>
          <w:sz w:val="56"/>
          <w:szCs w:val="56"/>
          <w:lang w:eastAsia="pl-PL"/>
        </w:rPr>
        <w:t xml:space="preserve">    </w:t>
      </w:r>
    </w:p>
    <w:p w:rsidR="00EF7BD2" w:rsidRPr="00EF7BD2" w:rsidRDefault="00C463B3" w:rsidP="00EF7BD2">
      <w:pPr>
        <w:keepNext/>
        <w:spacing w:after="0" w:line="240" w:lineRule="auto"/>
        <w:ind w:right="110"/>
        <w:outlineLvl w:val="0"/>
        <w:rPr>
          <w:rFonts w:ascii="Garamond" w:eastAsia="Times New Roman" w:hAnsi="Garamond" w:cs="Times New Roman"/>
          <w:b/>
          <w:sz w:val="40"/>
          <w:szCs w:val="40"/>
          <w:lang w:eastAsia="pl-PL"/>
        </w:rPr>
      </w:pPr>
      <w:r>
        <w:rPr>
          <w:rFonts w:ascii="Garamond" w:eastAsia="Times New Roman" w:hAnsi="Garamond" w:cs="Times New Roman"/>
          <w:b/>
          <w:sz w:val="56"/>
          <w:szCs w:val="56"/>
          <w:lang w:eastAsia="pl-PL"/>
        </w:rPr>
        <w:t xml:space="preserve">      </w:t>
      </w:r>
      <w:r w:rsidR="00EF7BD2" w:rsidRPr="00EF7BD2">
        <w:rPr>
          <w:rFonts w:ascii="Garamond" w:eastAsia="Times New Roman" w:hAnsi="Garamond" w:cs="Times New Roman"/>
          <w:b/>
          <w:sz w:val="56"/>
          <w:szCs w:val="56"/>
          <w:lang w:eastAsia="pl-PL"/>
        </w:rPr>
        <w:t>BURMISTRZ MIASTA GUBINA</w:t>
      </w:r>
    </w:p>
    <w:p w:rsidR="00EF7BD2" w:rsidRPr="00EF7BD2" w:rsidRDefault="00EF7BD2" w:rsidP="00EF7BD2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EF7BD2" w:rsidRPr="00EF7BD2" w:rsidRDefault="00EF7BD2" w:rsidP="00EF7BD2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40"/>
          <w:szCs w:val="40"/>
          <w:lang w:eastAsia="pl-PL"/>
        </w:rPr>
      </w:pPr>
      <w:r w:rsidRPr="00EF7BD2">
        <w:rPr>
          <w:rFonts w:ascii="Garamond" w:eastAsia="Times New Roman" w:hAnsi="Garamond" w:cs="Times New Roman"/>
          <w:b/>
          <w:sz w:val="40"/>
          <w:szCs w:val="40"/>
          <w:lang w:eastAsia="pl-PL"/>
        </w:rPr>
        <w:t xml:space="preserve">                                  OGŁASZA</w:t>
      </w:r>
    </w:p>
    <w:p w:rsidR="00EF7BD2" w:rsidRDefault="00EF7BD2" w:rsidP="00EF7BD2">
      <w:pPr>
        <w:spacing w:after="0" w:line="240" w:lineRule="auto"/>
        <w:ind w:right="68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463B3" w:rsidRPr="00EF7BD2" w:rsidRDefault="00C463B3" w:rsidP="00EF7BD2">
      <w:pPr>
        <w:spacing w:after="0" w:line="240" w:lineRule="auto"/>
        <w:ind w:right="68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F7BD2" w:rsidRPr="00EF7BD2" w:rsidRDefault="00EF7BD2" w:rsidP="00EF7BD2">
      <w:pPr>
        <w:spacing w:after="0" w:line="240" w:lineRule="auto"/>
        <w:ind w:right="68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F7B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</w:t>
      </w:r>
      <w:r w:rsidR="00C463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</w:t>
      </w:r>
      <w:r w:rsidRPr="00EF7B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</w:t>
      </w:r>
      <w:r w:rsidR="00DD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EF7B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przetarg ustny nieograniczony</w:t>
      </w:r>
    </w:p>
    <w:p w:rsidR="00EF7BD2" w:rsidRDefault="00EF7BD2" w:rsidP="00EF7BD2">
      <w:pPr>
        <w:spacing w:after="0" w:line="240" w:lineRule="auto"/>
        <w:ind w:right="6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EF7B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oddanie w użytkowanie wieczyste</w:t>
      </w:r>
      <w:r w:rsidRPr="00EF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nieruchomości gruntow</w:t>
      </w:r>
      <w:r w:rsidR="00C46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EF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przeznaczeniem pod budownictwo usługowe z dopuszczeniem funkcji mieszkaniowej.</w:t>
      </w:r>
    </w:p>
    <w:p w:rsidR="00C463B3" w:rsidRPr="00EF7BD2" w:rsidRDefault="00C463B3" w:rsidP="00EF7BD2">
      <w:pPr>
        <w:spacing w:after="0" w:line="240" w:lineRule="auto"/>
        <w:ind w:right="6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147" w:type="dxa"/>
        <w:tblLook w:val="0000" w:firstRow="0" w:lastRow="0" w:firstColumn="0" w:lastColumn="0" w:noHBand="0" w:noVBand="0"/>
      </w:tblPr>
      <w:tblGrid>
        <w:gridCol w:w="655"/>
        <w:gridCol w:w="2313"/>
        <w:gridCol w:w="1416"/>
        <w:gridCol w:w="1209"/>
        <w:gridCol w:w="1336"/>
        <w:gridCol w:w="1190"/>
        <w:gridCol w:w="1368"/>
        <w:gridCol w:w="4652"/>
      </w:tblGrid>
      <w:tr w:rsidR="00EF7BD2" w:rsidRPr="00EF7BD2" w:rsidTr="00C463B3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 przetargów  odbytych</w:t>
            </w:r>
          </w:p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  <w:p w:rsidR="00EF7BD2" w:rsidRPr="00EF7BD2" w:rsidRDefault="00EF7BD2" w:rsidP="00EF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F7BD2" w:rsidRPr="00EF7BD2" w:rsidTr="00C463B3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Nieruchomość składająca się z działek: 64/7, 64/8, 64/9, 64/10, 64/11, 64/12, 64/13, 64/14, 64/15, 64/16, 64/17.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ul. Zygmunta Starego</w:t>
            </w:r>
          </w:p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obręb 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D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  <w:r w:rsidR="00DD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D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DD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60.0</w:t>
            </w: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D2" w:rsidRPr="00EF7BD2" w:rsidRDefault="00DD6F54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24.03.2016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Działka objęta jest Miejscowym Planem Zagospodarowania Przestrzennego terenu Śródmieścia miasta Gubin (1U, MW – tereny zabudowy usługowej z dopuszczeniem realizacji funkcji mieszkaniowej wielorodzinnej). Teren nieruchomości położony w zespole krajobrazowo – urbanistycznym miasta Gubina, wpisany do rejestru zabytków pod nr 62 (3031). Nieruchomość stanowi kwartał pomiędzy ulicami Zygmunta Starego, Budziszyńską, Kopernika oraz Chopina. W granicach działki nasadzenia drzew prawem chronionych oraz teren zieleni. Działka z ograniczeniami w możliwości zabudowy, wynikającymi z wytycznych konserwatora zabytków, zawartych w planie zagospodarowania przestrzennego. Pierwsza opłata 25% kwoty wylicytowanej, opłaty roczne 3% płatne do 31 marca każdego roku, aktualizowane nie częściej niż raz na trzy lata.</w:t>
            </w:r>
          </w:p>
        </w:tc>
      </w:tr>
      <w:tr w:rsidR="00EF7BD2" w:rsidRPr="00EF7BD2" w:rsidTr="00C463B3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ul. Zygmunta Starego</w:t>
            </w:r>
          </w:p>
          <w:p w:rsidR="00EF7BD2" w:rsidRPr="00EF7BD2" w:rsidRDefault="00EF7BD2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obręb 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DD6F54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1.600</w:t>
            </w:r>
            <w:r w:rsidR="00EF7BD2"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BD2" w:rsidRPr="00EF7BD2" w:rsidRDefault="00DD6F54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160.0</w:t>
            </w:r>
            <w:r w:rsid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  <w:r w:rsidR="00EF7BD2" w:rsidRPr="00EF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D2" w:rsidRPr="00EF7BD2" w:rsidRDefault="00DD6F54" w:rsidP="00E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24.03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.2016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D2" w:rsidRPr="00EF7BD2" w:rsidRDefault="00EF7BD2" w:rsidP="00C46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F7B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Działka objęta jest Miejscowym Planem Zagospodarowania Przestrzennego te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renu Śródmieścia miasta Gubin (2</w:t>
            </w:r>
            <w:r w:rsidRPr="00EF7B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U, MW – tereny zabudowy usługowej z dopuszczeniem realizacji funkcji mieszkaniowej wielorodzinnej). Teren nieruchomości położony w zespole krajobrazowo – urbanistycznym miasta Gubina, wpisany do rejestru zabytków pod nr 62 (3031). Nieruchomość stanowi kwartał pomiędzy ulicami Zygmunta Starego, Budziszyńsk</w:t>
            </w:r>
            <w:r w:rsidR="00C463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ą, Kopernika.</w:t>
            </w:r>
            <w:r w:rsidRPr="00EF7B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 granicach działki nasadzenia drzew prawem chronionych oraz teren zieleni. Działka z ograniczeniami w możliwości zabudowy, wynikającymi z wytycznych konserwatora zabytków, zawartych w planie zagospodarowania przestrzennego. Pierwsza opłata 25% kwoty wylicytowanej, opłaty roczne 3% płatne do 31 marca każdego roku, aktualizowane nie częściej niż raz na trzy lata.</w:t>
            </w:r>
          </w:p>
        </w:tc>
      </w:tr>
    </w:tbl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C463B3" w:rsidRDefault="00C463B3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Nieruchomości</w:t>
      </w:r>
      <w:r w:rsidRPr="00EF7BD2">
        <w:rPr>
          <w:rFonts w:ascii="Garamond" w:eastAsia="Times New Roman" w:hAnsi="Garamond" w:cs="Times New Roman"/>
          <w:b/>
          <w:bCs/>
          <w:lang w:eastAsia="pl-PL"/>
        </w:rPr>
        <w:t xml:space="preserve"> stanowią własność Gminy Gubin o statusie miejskim.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 xml:space="preserve">Przetarg odbędzie się dnia </w:t>
      </w:r>
      <w:r w:rsidR="00DD6F54">
        <w:rPr>
          <w:rFonts w:ascii="Garamond" w:eastAsia="Times New Roman" w:hAnsi="Garamond" w:cs="Times New Roman"/>
          <w:b/>
          <w:u w:val="single"/>
          <w:lang w:eastAsia="pl-PL"/>
        </w:rPr>
        <w:t>02 czerwca</w:t>
      </w:r>
      <w:r w:rsidRPr="00EF7BD2">
        <w:rPr>
          <w:rFonts w:ascii="Garamond" w:eastAsia="Times New Roman" w:hAnsi="Garamond" w:cs="Times New Roman"/>
          <w:b/>
          <w:u w:val="single"/>
          <w:lang w:eastAsia="pl-PL"/>
        </w:rPr>
        <w:t xml:space="preserve"> 201</w:t>
      </w:r>
      <w:r>
        <w:rPr>
          <w:rFonts w:ascii="Garamond" w:eastAsia="Times New Roman" w:hAnsi="Garamond" w:cs="Times New Roman"/>
          <w:b/>
          <w:u w:val="single"/>
          <w:lang w:eastAsia="pl-PL"/>
        </w:rPr>
        <w:t>6</w:t>
      </w:r>
      <w:r w:rsidRPr="00EF7BD2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Pr="00EF7BD2">
        <w:rPr>
          <w:rFonts w:ascii="Garamond" w:eastAsia="Times New Roman" w:hAnsi="Garamond" w:cs="Times New Roman"/>
          <w:b/>
          <w:bCs/>
          <w:u w:val="single"/>
          <w:lang w:eastAsia="pl-PL"/>
        </w:rPr>
        <w:t>r. o godz. 11.00</w:t>
      </w:r>
      <w:r w:rsidRPr="00EF7BD2">
        <w:rPr>
          <w:rFonts w:ascii="Garamond" w:eastAsia="Times New Roman" w:hAnsi="Garamond" w:cs="Times New Roman"/>
          <w:lang w:eastAsia="pl-PL"/>
        </w:rPr>
        <w:t xml:space="preserve"> </w:t>
      </w:r>
      <w:r w:rsidRPr="00EF7BD2">
        <w:rPr>
          <w:rFonts w:ascii="Garamond" w:eastAsia="Times New Roman" w:hAnsi="Garamond" w:cs="Times New Roman"/>
          <w:b/>
          <w:bCs/>
          <w:lang w:eastAsia="pl-PL"/>
        </w:rPr>
        <w:t>w sali narad Urzędu Miejskiego w Gubinie ul. Piastowska 24.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Wadium w pieniądzu, w wysokości 10% ceny wywoławczej, należy wpłacić najpóźniej</w:t>
      </w:r>
      <w:r w:rsidRPr="00EF7BD2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EF7BD2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do dnia </w:t>
      </w:r>
      <w:r w:rsidR="00DD6F54">
        <w:rPr>
          <w:rFonts w:ascii="Garamond" w:eastAsia="Times New Roman" w:hAnsi="Garamond" w:cs="Times New Roman"/>
          <w:b/>
          <w:bCs/>
          <w:u w:val="single"/>
          <w:lang w:eastAsia="pl-PL"/>
        </w:rPr>
        <w:t>30 maja</w:t>
      </w:r>
      <w:r w:rsidRPr="00EF7BD2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201</w:t>
      </w:r>
      <w:r>
        <w:rPr>
          <w:rFonts w:ascii="Garamond" w:eastAsia="Times New Roman" w:hAnsi="Garamond" w:cs="Times New Roman"/>
          <w:b/>
          <w:bCs/>
          <w:u w:val="single"/>
          <w:lang w:eastAsia="pl-PL"/>
        </w:rPr>
        <w:t>6</w:t>
      </w:r>
      <w:r w:rsidRPr="00EF7BD2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r.</w:t>
      </w:r>
      <w:r w:rsidRPr="00EF7BD2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EF7BD2">
        <w:rPr>
          <w:rFonts w:ascii="Garamond" w:eastAsia="Times New Roman" w:hAnsi="Garamond" w:cs="Times New Roman"/>
          <w:lang w:eastAsia="pl-PL"/>
        </w:rPr>
        <w:t xml:space="preserve">na konto </w:t>
      </w:r>
      <w:r w:rsidRPr="00EF7BD2">
        <w:rPr>
          <w:rFonts w:ascii="Garamond" w:eastAsia="Times New Roman" w:hAnsi="Garamond" w:cs="Times New Roman"/>
          <w:u w:val="single"/>
          <w:lang w:eastAsia="pl-PL"/>
        </w:rPr>
        <w:t>PKO BP S.A. o/Zielona Góra nr  131020 5402 0000 0502 0027 8747</w:t>
      </w:r>
      <w:r w:rsidRPr="00EF7BD2">
        <w:rPr>
          <w:rFonts w:ascii="Garamond" w:eastAsia="Times New Roman" w:hAnsi="Garamond" w:cs="Times New Roman"/>
          <w:lang w:eastAsia="pl-PL"/>
        </w:rPr>
        <w:t xml:space="preserve"> (w tytule wpłaty wskazać nieruchomość, której dotyczy).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EF7BD2">
        <w:rPr>
          <w:rFonts w:ascii="Garamond" w:eastAsia="Times New Roman" w:hAnsi="Garamond" w:cs="Times New Roman"/>
          <w:b/>
          <w:lang w:eastAsia="pl-PL"/>
        </w:rPr>
        <w:t xml:space="preserve">. </w:t>
      </w:r>
      <w:r w:rsidRPr="00EF7BD2">
        <w:rPr>
          <w:rFonts w:ascii="Garamond" w:eastAsia="Times New Roman" w:hAnsi="Garamond" w:cs="Times New Roman"/>
          <w:b/>
          <w:u w:val="single"/>
          <w:lang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  <w:r w:rsidR="0072459B">
        <w:rPr>
          <w:rFonts w:ascii="Garamond" w:eastAsia="Times New Roman" w:hAnsi="Garamond" w:cs="Times New Roman"/>
          <w:lang w:eastAsia="pl-PL"/>
        </w:rPr>
        <w:t xml:space="preserve"> </w:t>
      </w:r>
    </w:p>
    <w:p w:rsidR="0072459B" w:rsidRPr="00EF7BD2" w:rsidRDefault="0072459B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W przypadku odkrycia historycznych fragmentów, które wpłynęłyby na konieczność przeprowadzenia korekty granic działki, nabywca wyraża zgodę na przeprowadzenie niezbędnego postępowania w tym zakresie.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Nabywca nieruchomości przejmuje wraz z gruntem obowiązek usunięcia z terenu wszystkich bezumownych użytkowników.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Nabywca na własny koszt zleci uprawnionym podmiotom odtworzenie granic nieruchomości.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Przetarg przeprowadzi komisja w składzie wyznaczonym w § 1 Zarządzenia nr I/2010 Burmistrza Miasta Gubina z dnia 5 stycznia 2010 r.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 xml:space="preserve">Koszty przygotowania dokumentacji, sporządzenia umowy notarialnej i opłaty sądowe w całości ponosi nabywca.  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Do ceny nieruchomości zostanie zastosowana stawka podatku od towarów i usług zgodnie z obowiązującymi przepisami na dzień transakcji.</w:t>
      </w:r>
    </w:p>
    <w:p w:rsidR="00EF7BD2" w:rsidRPr="00EF7BD2" w:rsidRDefault="00EF7BD2" w:rsidP="00EF7BD2">
      <w:pPr>
        <w:spacing w:after="0" w:line="240" w:lineRule="auto"/>
        <w:ind w:left="-993" w:right="-599"/>
        <w:jc w:val="both"/>
        <w:rPr>
          <w:rFonts w:ascii="Garamond" w:eastAsia="Times New Roman" w:hAnsi="Garamond" w:cs="Times New Roman"/>
          <w:b/>
          <w:bCs/>
          <w:u w:val="single"/>
          <w:lang w:eastAsia="pl-PL"/>
        </w:rPr>
      </w:pPr>
      <w:r w:rsidRPr="00EF7BD2">
        <w:rPr>
          <w:rFonts w:ascii="Garamond" w:eastAsia="Times New Roman" w:hAnsi="Garamond" w:cs="Times New Roman"/>
          <w:b/>
          <w:u w:val="single"/>
          <w:lang w:eastAsia="pl-PL"/>
        </w:rPr>
        <w:t>Dotyczy nieruchomości oddawanej w użytkowanie wieczyste:</w:t>
      </w:r>
    </w:p>
    <w:p w:rsidR="00EF7BD2" w:rsidRPr="00EF7BD2" w:rsidRDefault="00EF7BD2" w:rsidP="00EF7BD2">
      <w:pPr>
        <w:spacing w:after="0" w:line="240" w:lineRule="auto"/>
        <w:ind w:left="-993" w:right="-599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3 %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EF7BD2">
        <w:rPr>
          <w:rFonts w:ascii="Garamond" w:eastAsia="Times New Roman" w:hAnsi="Garamond" w:cs="Times New Roman"/>
          <w:b/>
          <w:u w:val="single"/>
          <w:lang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b/>
          <w:lang w:eastAsia="pl-PL"/>
        </w:rPr>
        <w:lastRenderedPageBreak/>
        <w:t>Osoby uczestniczące w przetargu zobowiązane są okazać komisji przetargowej dowód wpłaty wadium oraz:</w:t>
      </w:r>
      <w:r w:rsidRPr="00EF7BD2">
        <w:rPr>
          <w:rFonts w:ascii="Garamond" w:eastAsia="Times New Roman" w:hAnsi="Garamond" w:cs="Times New Roman"/>
          <w:lang w:eastAsia="pl-PL"/>
        </w:rPr>
        <w:t xml:space="preserve"> 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- w przypadku osoby fizycznej: dokument potwierdzający tożsamość uczestnika przetargu (dowód osobisty, paszport lub prawo jazdy),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b/>
          <w:bCs/>
          <w:lang w:eastAsia="pl-PL"/>
        </w:rPr>
        <w:t xml:space="preserve">- </w:t>
      </w:r>
      <w:r w:rsidRPr="00EF7BD2">
        <w:rPr>
          <w:rFonts w:ascii="Garamond" w:eastAsia="Times New Roman" w:hAnsi="Garamond" w:cs="Times New Roman"/>
          <w:lang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Niedotrzymanie terminu zawarcia umowy notarialnej bez usprawiedliwienia przez uczestnika, który przetarg wygra, powoduje przepadek wadium a przetarg czyni niebyłym.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Zbycie nieruchomości następuje na podstawie przepisów ustawy z dnia 21 sierpnia 1997 r. o gospodarce nieruchomościami (</w:t>
      </w:r>
      <w:proofErr w:type="spellStart"/>
      <w:r w:rsidRPr="00EF7BD2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EF7BD2">
        <w:rPr>
          <w:rFonts w:ascii="Garamond" w:eastAsia="Times New Roman" w:hAnsi="Garamond" w:cs="Times New Roman"/>
          <w:lang w:eastAsia="pl-PL"/>
        </w:rPr>
        <w:t>. Dz. U. z 201</w:t>
      </w:r>
      <w:r>
        <w:rPr>
          <w:rFonts w:ascii="Garamond" w:eastAsia="Times New Roman" w:hAnsi="Garamond" w:cs="Times New Roman"/>
          <w:lang w:eastAsia="pl-PL"/>
        </w:rPr>
        <w:t>5</w:t>
      </w:r>
      <w:r w:rsidRPr="00EF7BD2">
        <w:rPr>
          <w:rFonts w:ascii="Garamond" w:eastAsia="Times New Roman" w:hAnsi="Garamond" w:cs="Times New Roman"/>
          <w:lang w:eastAsia="pl-PL"/>
        </w:rPr>
        <w:t xml:space="preserve"> r., poz. </w:t>
      </w:r>
      <w:r>
        <w:rPr>
          <w:rFonts w:ascii="Garamond" w:eastAsia="Times New Roman" w:hAnsi="Garamond" w:cs="Times New Roman"/>
          <w:lang w:eastAsia="pl-PL"/>
        </w:rPr>
        <w:t>1774</w:t>
      </w:r>
      <w:r w:rsidRPr="00EF7BD2">
        <w:rPr>
          <w:rFonts w:ascii="Garamond" w:eastAsia="Times New Roman" w:hAnsi="Garamond" w:cs="Times New Roman"/>
          <w:lang w:eastAsia="pl-PL"/>
        </w:rPr>
        <w:t xml:space="preserve"> z </w:t>
      </w:r>
      <w:proofErr w:type="spellStart"/>
      <w:r w:rsidRPr="00EF7BD2">
        <w:rPr>
          <w:rFonts w:ascii="Garamond" w:eastAsia="Times New Roman" w:hAnsi="Garamond" w:cs="Times New Roman"/>
          <w:lang w:eastAsia="pl-PL"/>
        </w:rPr>
        <w:t>późn</w:t>
      </w:r>
      <w:proofErr w:type="spellEnd"/>
      <w:r w:rsidRPr="00EF7BD2">
        <w:rPr>
          <w:rFonts w:ascii="Garamond" w:eastAsia="Times New Roman" w:hAnsi="Garamond" w:cs="Times New Roman"/>
          <w:lang w:eastAsia="pl-PL"/>
        </w:rPr>
        <w:t>. zm.). Przetarg zostanie przeprowadzony zgodnie z Rozporządzeniem Rady Ministrów z dnia 14 września 2004 r. w sprawie sposobu i trybu przeprowadzania przetargów oraz rokowań</w:t>
      </w:r>
      <w:r>
        <w:rPr>
          <w:rFonts w:ascii="Garamond" w:eastAsia="Times New Roman" w:hAnsi="Garamond" w:cs="Times New Roman"/>
          <w:lang w:eastAsia="pl-PL"/>
        </w:rPr>
        <w:t xml:space="preserve"> na zbycie nieruchomości (j.t. Dz. U. z 2014 r., poz. 1490</w:t>
      </w:r>
      <w:r w:rsidRPr="00EF7BD2">
        <w:rPr>
          <w:rFonts w:ascii="Garamond" w:eastAsia="Times New Roman" w:hAnsi="Garamond" w:cs="Times New Roman"/>
          <w:lang w:eastAsia="pl-PL"/>
        </w:rPr>
        <w:t>).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>Ogłaszający ma prawo do odwołania ogłoszonego przetargu w formie właściwej dla jego ogłoszenia.</w:t>
      </w:r>
    </w:p>
    <w:p w:rsidR="00EF7BD2" w:rsidRPr="00EF7BD2" w:rsidRDefault="00EF7BD2" w:rsidP="00EF7BD2">
      <w:pPr>
        <w:spacing w:after="0" w:line="240" w:lineRule="auto"/>
        <w:ind w:left="-993" w:right="-740"/>
        <w:jc w:val="both"/>
        <w:rPr>
          <w:rFonts w:ascii="Garamond" w:eastAsia="Times New Roman" w:hAnsi="Garamond" w:cs="Times New Roman"/>
          <w:lang w:eastAsia="pl-PL"/>
        </w:rPr>
      </w:pPr>
      <w:r w:rsidRPr="00EF7BD2">
        <w:rPr>
          <w:rFonts w:ascii="Garamond" w:eastAsia="Times New Roman" w:hAnsi="Garamond" w:cs="Times New Roman"/>
          <w:lang w:eastAsia="pl-PL"/>
        </w:rPr>
        <w:t xml:space="preserve">Ogłoszenie podaje się do publicznej wiadomości na okres jednego miesiąca, począwszy od dnia </w:t>
      </w:r>
      <w:r w:rsidR="00DD6F54">
        <w:rPr>
          <w:rFonts w:ascii="Garamond" w:eastAsia="Times New Roman" w:hAnsi="Garamond" w:cs="Times New Roman"/>
          <w:lang w:eastAsia="pl-PL"/>
        </w:rPr>
        <w:t>30 marca</w:t>
      </w:r>
      <w:r w:rsidRPr="00EF7BD2">
        <w:rPr>
          <w:rFonts w:ascii="Garamond" w:eastAsia="Times New Roman" w:hAnsi="Garamond" w:cs="Times New Roman"/>
          <w:lang w:eastAsia="pl-PL"/>
        </w:rPr>
        <w:t xml:space="preserve"> 201</w:t>
      </w:r>
      <w:r>
        <w:rPr>
          <w:rFonts w:ascii="Garamond" w:eastAsia="Times New Roman" w:hAnsi="Garamond" w:cs="Times New Roman"/>
          <w:lang w:eastAsia="pl-PL"/>
        </w:rPr>
        <w:t>6</w:t>
      </w:r>
      <w:r w:rsidRPr="00EF7BD2">
        <w:rPr>
          <w:rFonts w:ascii="Garamond" w:eastAsia="Times New Roman" w:hAnsi="Garamond" w:cs="Times New Roman"/>
          <w:lang w:eastAsia="pl-PL"/>
        </w:rPr>
        <w:t xml:space="preserve"> r.</w:t>
      </w:r>
    </w:p>
    <w:p w:rsidR="00EF7BD2" w:rsidRPr="00EF7BD2" w:rsidRDefault="00EF7BD2" w:rsidP="00EF7BD2">
      <w:pPr>
        <w:spacing w:after="200" w:line="276" w:lineRule="auto"/>
        <w:ind w:left="-993" w:right="-740"/>
        <w:jc w:val="both"/>
        <w:rPr>
          <w:rFonts w:ascii="Garamond" w:eastAsiaTheme="minorEastAsia" w:hAnsi="Garamond"/>
          <w:lang w:eastAsia="pl-PL"/>
        </w:rPr>
      </w:pPr>
      <w:r w:rsidRPr="00EF7BD2">
        <w:rPr>
          <w:rFonts w:ascii="Garamond" w:eastAsiaTheme="minorEastAsia" w:hAnsi="Garamond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EF7BD2" w:rsidRPr="00EF7BD2" w:rsidRDefault="00EF7BD2" w:rsidP="00EF7BD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7666C3" w:rsidRDefault="007666C3"/>
    <w:sectPr w:rsidR="007666C3" w:rsidSect="00C463B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E0"/>
    <w:rsid w:val="00586EE0"/>
    <w:rsid w:val="0072459B"/>
    <w:rsid w:val="007666C3"/>
    <w:rsid w:val="00C463B3"/>
    <w:rsid w:val="00DD6F54"/>
    <w:rsid w:val="00E24F21"/>
    <w:rsid w:val="00EF7BD2"/>
    <w:rsid w:val="00F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2B770-8B0A-450D-A3DB-6E665D2B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7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2016-03-24T09:52:00Z</cp:lastPrinted>
  <dcterms:created xsi:type="dcterms:W3CDTF">2016-03-24T10:28:00Z</dcterms:created>
  <dcterms:modified xsi:type="dcterms:W3CDTF">2016-03-24T10:28:00Z</dcterms:modified>
</cp:coreProperties>
</file>