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40068" w14:textId="77777777" w:rsidR="00F00CCB" w:rsidRDefault="00F00CCB" w:rsidP="00F00CCB">
      <w:pPr>
        <w:spacing w:after="0" w:line="276" w:lineRule="auto"/>
        <w:jc w:val="center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  <w:r>
        <w:rPr>
          <w:rFonts w:ascii="Garamond" w:eastAsia="Times New Roman" w:hAnsi="Garamond"/>
          <w:b/>
          <w:bCs/>
          <w:sz w:val="28"/>
          <w:szCs w:val="28"/>
          <w:lang w:eastAsia="pl-PL"/>
        </w:rPr>
        <w:t xml:space="preserve">BURMISTRZ MIASTA GUBINA </w:t>
      </w:r>
    </w:p>
    <w:p w14:paraId="3D807251" w14:textId="77777777" w:rsidR="00F00CCB" w:rsidRDefault="00F00CCB" w:rsidP="00F00CCB">
      <w:pPr>
        <w:spacing w:after="0" w:line="276" w:lineRule="auto"/>
        <w:jc w:val="center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  <w:r>
        <w:rPr>
          <w:rFonts w:ascii="Garamond" w:eastAsia="Times New Roman" w:hAnsi="Garamond"/>
          <w:b/>
          <w:bCs/>
          <w:sz w:val="28"/>
          <w:szCs w:val="28"/>
          <w:lang w:eastAsia="pl-PL"/>
        </w:rPr>
        <w:t xml:space="preserve">O G Ł A S Z A </w:t>
      </w:r>
    </w:p>
    <w:p w14:paraId="03AE73C8" w14:textId="77777777" w:rsidR="00F00CCB" w:rsidRDefault="00F00CCB" w:rsidP="00F00CCB">
      <w:pPr>
        <w:spacing w:after="0" w:line="276" w:lineRule="auto"/>
        <w:ind w:left="-284"/>
        <w:jc w:val="center"/>
        <w:rPr>
          <w:rFonts w:ascii="Garamond" w:eastAsia="Times New Roman" w:hAnsi="Garamond"/>
          <w:b/>
          <w:bCs/>
          <w:sz w:val="26"/>
          <w:szCs w:val="26"/>
          <w:lang w:eastAsia="pl-PL"/>
        </w:rPr>
      </w:pPr>
      <w:r>
        <w:rPr>
          <w:rFonts w:ascii="Garamond" w:eastAsia="Times New Roman" w:hAnsi="Garamond"/>
          <w:b/>
          <w:bCs/>
          <w:sz w:val="26"/>
          <w:szCs w:val="26"/>
          <w:lang w:eastAsia="pl-PL"/>
        </w:rPr>
        <w:t xml:space="preserve">I  publiczny przetarg ustny nieograniczony </w:t>
      </w:r>
      <w:r>
        <w:rPr>
          <w:rFonts w:ascii="Garamond" w:eastAsia="Times New Roman" w:hAnsi="Garamond"/>
          <w:b/>
          <w:sz w:val="26"/>
          <w:szCs w:val="26"/>
          <w:lang w:eastAsia="pl-PL"/>
        </w:rPr>
        <w:t>na sprzedaż lokalu mieszkalnego wraz z udziałem w nieruchomości wspólnej.</w:t>
      </w:r>
    </w:p>
    <w:tbl>
      <w:tblPr>
        <w:tblStyle w:val="Tabela-Siatka"/>
        <w:tblW w:w="144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2080"/>
        <w:gridCol w:w="1945"/>
        <w:gridCol w:w="3460"/>
        <w:gridCol w:w="1844"/>
        <w:gridCol w:w="1418"/>
        <w:gridCol w:w="1417"/>
        <w:gridCol w:w="1702"/>
      </w:tblGrid>
      <w:tr w:rsidR="00F00CCB" w14:paraId="45243B07" w14:textId="77777777" w:rsidTr="00F00CC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77C7" w14:textId="77777777" w:rsidR="00F00CCB" w:rsidRDefault="00F00CCB">
            <w:pPr>
              <w:spacing w:after="120" w:line="240" w:lineRule="auto"/>
              <w:jc w:val="both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E901" w14:textId="77777777" w:rsidR="00F00CCB" w:rsidRDefault="00F00CCB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</w:p>
          <w:p w14:paraId="1D16B1CB" w14:textId="77777777" w:rsidR="00F00CCB" w:rsidRDefault="00F00CCB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77D7" w14:textId="77777777" w:rsidR="00F00CCB" w:rsidRDefault="00F00CCB">
            <w:pPr>
              <w:spacing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Księga wieczysta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2456" w14:textId="77777777" w:rsidR="00F00CCB" w:rsidRDefault="00F00CCB">
            <w:pPr>
              <w:spacing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</w:p>
          <w:p w14:paraId="5C9FB7AE" w14:textId="77777777" w:rsidR="00F00CCB" w:rsidRDefault="00F00CCB">
            <w:pPr>
              <w:spacing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Opis lokalu</w:t>
            </w:r>
          </w:p>
          <w:p w14:paraId="76567024" w14:textId="77777777" w:rsidR="00F00CCB" w:rsidRDefault="00F00CCB">
            <w:pPr>
              <w:spacing w:after="120" w:line="240" w:lineRule="auto"/>
              <w:jc w:val="both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FE6D" w14:textId="77777777" w:rsidR="00F00CCB" w:rsidRDefault="00F00CCB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Cena wywoławcza lokalu i udziału w gruncie (netto)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846B" w14:textId="77777777" w:rsidR="00F00CCB" w:rsidRDefault="00F00CCB">
            <w:pPr>
              <w:spacing w:after="120" w:line="240" w:lineRule="auto"/>
              <w:jc w:val="both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</w:p>
          <w:p w14:paraId="6A160191" w14:textId="77777777" w:rsidR="00F00CCB" w:rsidRDefault="00F00CCB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Wysokość wadium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0BE3" w14:textId="77777777" w:rsidR="00F00CCB" w:rsidRDefault="00F00CCB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Termin przetargów  odbytych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F91A" w14:textId="77777777" w:rsidR="00F00CCB" w:rsidRDefault="00F00CCB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Uwagi</w:t>
            </w:r>
          </w:p>
        </w:tc>
      </w:tr>
      <w:tr w:rsidR="00F00CCB" w14:paraId="4AB78B7F" w14:textId="77777777" w:rsidTr="00F00CCB">
        <w:trPr>
          <w:trHeight w:val="241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5A8E" w14:textId="77777777" w:rsidR="00F00CCB" w:rsidRDefault="00F00CCB">
            <w:pPr>
              <w:spacing w:after="120" w:line="240" w:lineRule="auto"/>
              <w:jc w:val="both"/>
              <w:rPr>
                <w:rFonts w:ascii="Garamond" w:eastAsia="Times New Roman" w:hAnsi="Garamond"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B95A" w14:textId="56CDCC30" w:rsidR="00F00CCB" w:rsidRDefault="00F00CCB">
            <w:pPr>
              <w:keepNext/>
              <w:spacing w:line="276" w:lineRule="auto"/>
              <w:outlineLvl w:val="0"/>
              <w:rPr>
                <w:rFonts w:ascii="Garamond" w:eastAsia="Times New Roman" w:hAnsi="Garamond"/>
                <w:b/>
                <w:bCs/>
              </w:rPr>
            </w:pPr>
            <w:r>
              <w:rPr>
                <w:rFonts w:ascii="Garamond" w:eastAsia="Times New Roman" w:hAnsi="Garamond"/>
                <w:b/>
                <w:bCs/>
              </w:rPr>
              <w:t xml:space="preserve">ul. </w:t>
            </w:r>
            <w:r>
              <w:rPr>
                <w:rFonts w:ascii="Garamond" w:eastAsia="Times New Roman" w:hAnsi="Garamond"/>
                <w:b/>
                <w:bCs/>
              </w:rPr>
              <w:t>Gen. Sikorskiego 63/1A</w:t>
            </w:r>
          </w:p>
          <w:p w14:paraId="25BA7B47" w14:textId="2C54BEDA" w:rsidR="00F00CCB" w:rsidRDefault="00F00CCB">
            <w:pPr>
              <w:keepNext/>
              <w:spacing w:line="276" w:lineRule="auto"/>
              <w:jc w:val="both"/>
              <w:outlineLvl w:val="0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 xml:space="preserve">dz. nr 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>234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 xml:space="preserve"> o pow. 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>485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 xml:space="preserve"> m² w obrębie  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 xml:space="preserve">, udział w gruncie i częściach wspólnych </w:t>
            </w:r>
            <w:r>
              <w:rPr>
                <w:rFonts w:ascii="Garamond" w:eastAsia="Times New Roman" w:hAnsi="Garamond"/>
                <w:sz w:val="20"/>
                <w:szCs w:val="20"/>
              </w:rPr>
              <w:t xml:space="preserve">budynków – </w:t>
            </w:r>
            <w:r>
              <w:rPr>
                <w:rFonts w:ascii="Garamond" w:eastAsia="Times New Roman" w:hAnsi="Garamond"/>
                <w:sz w:val="20"/>
                <w:szCs w:val="20"/>
              </w:rPr>
              <w:t>210</w:t>
            </w:r>
            <w:r>
              <w:rPr>
                <w:rFonts w:ascii="Garamond" w:eastAsia="Times New Roman" w:hAnsi="Garamond"/>
                <w:sz w:val="20"/>
                <w:szCs w:val="20"/>
              </w:rPr>
              <w:t>/1000</w:t>
            </w:r>
          </w:p>
          <w:p w14:paraId="7E181480" w14:textId="77777777" w:rsidR="00F00CCB" w:rsidRDefault="00F00CCB">
            <w:pPr>
              <w:spacing w:after="120" w:line="240" w:lineRule="auto"/>
              <w:jc w:val="both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7E2A" w14:textId="77777777" w:rsidR="00F00CCB" w:rsidRDefault="00F00CCB">
            <w:pPr>
              <w:spacing w:after="120" w:line="240" w:lineRule="auto"/>
              <w:jc w:val="both"/>
              <w:rPr>
                <w:rFonts w:ascii="Garamond" w:eastAsia="Times New Roman" w:hAnsi="Garamond"/>
              </w:rPr>
            </w:pPr>
          </w:p>
          <w:p w14:paraId="72100146" w14:textId="77777777" w:rsidR="00F00CCB" w:rsidRDefault="00F00CCB">
            <w:pPr>
              <w:spacing w:after="120" w:line="240" w:lineRule="auto"/>
              <w:jc w:val="both"/>
              <w:rPr>
                <w:rFonts w:ascii="Garamond" w:eastAsia="Times New Roman" w:hAnsi="Garamond"/>
              </w:rPr>
            </w:pPr>
          </w:p>
          <w:p w14:paraId="6B0DC98C" w14:textId="75FC3F54" w:rsidR="00F00CCB" w:rsidRDefault="00F00CCB">
            <w:pPr>
              <w:spacing w:after="120" w:line="240" w:lineRule="auto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ZG2K/0000</w:t>
            </w:r>
            <w:r>
              <w:rPr>
                <w:rFonts w:ascii="Garamond" w:eastAsia="Times New Roman" w:hAnsi="Garamond"/>
              </w:rPr>
              <w:t>4257</w:t>
            </w:r>
            <w:r>
              <w:rPr>
                <w:rFonts w:ascii="Garamond" w:eastAsia="Times New Roman" w:hAnsi="Garamond"/>
              </w:rPr>
              <w:t>/</w:t>
            </w:r>
            <w:r>
              <w:rPr>
                <w:rFonts w:ascii="Garamond" w:eastAsia="Times New Roman" w:hAnsi="Garamond"/>
              </w:rPr>
              <w:t>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E817" w14:textId="76C2C0C2" w:rsidR="00F00CCB" w:rsidRDefault="00F00CCB">
            <w:pPr>
              <w:spacing w:after="120" w:line="240" w:lineRule="auto"/>
              <w:jc w:val="both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 xml:space="preserve">Lokal mieszkalny położony jest na </w:t>
            </w:r>
            <w:r>
              <w:rPr>
                <w:rFonts w:ascii="Garamond" w:eastAsia="Times New Roman" w:hAnsi="Garamond"/>
                <w:sz w:val="20"/>
                <w:szCs w:val="20"/>
              </w:rPr>
              <w:t xml:space="preserve">dwóch kondygnacjach. Na parterze </w:t>
            </w:r>
            <w:r>
              <w:rPr>
                <w:rFonts w:ascii="Garamond" w:eastAsia="Times New Roman" w:hAnsi="Garamond"/>
                <w:sz w:val="20"/>
                <w:szCs w:val="20"/>
              </w:rPr>
              <w:t>budynku</w:t>
            </w:r>
            <w:r>
              <w:rPr>
                <w:rFonts w:ascii="Garamond" w:eastAsia="Times New Roman" w:hAnsi="Garamond"/>
                <w:sz w:val="20"/>
                <w:szCs w:val="20"/>
              </w:rPr>
              <w:t xml:space="preserve"> znajduje się pomieszczenie przeznaczone na kuchnię i łazienkę z WC, a na poddaszu znajduje się jeden pokój. Powierzchnia użytkowa całego lokalu wynosi 25,10 </w:t>
            </w:r>
            <w:r>
              <w:rPr>
                <w:rFonts w:ascii="Garamond" w:eastAsia="Times New Roman" w:hAnsi="Garamond"/>
                <w:sz w:val="20"/>
                <w:szCs w:val="20"/>
              </w:rPr>
              <w:t>m</w:t>
            </w:r>
            <w:r>
              <w:rPr>
                <w:rFonts w:ascii="Garamond" w:eastAsia="Times New Roman" w:hAnsi="Garamond"/>
                <w:sz w:val="20"/>
                <w:szCs w:val="20"/>
                <w:vertAlign w:val="superscript"/>
              </w:rPr>
              <w:t>2</w:t>
            </w:r>
            <w:r>
              <w:rPr>
                <w:rFonts w:ascii="Garamond" w:eastAsia="Times New Roman" w:hAnsi="Garamond"/>
                <w:sz w:val="20"/>
                <w:szCs w:val="20"/>
              </w:rPr>
              <w:t>.</w:t>
            </w:r>
            <w:r>
              <w:rPr>
                <w:rFonts w:ascii="Garamond" w:eastAsia="Times New Roman" w:hAnsi="Garamond"/>
                <w:sz w:val="20"/>
                <w:szCs w:val="20"/>
              </w:rPr>
              <w:t xml:space="preserve"> Przynależność do lokalu stanowi</w:t>
            </w:r>
            <w:r>
              <w:rPr>
                <w:rFonts w:ascii="Garamond" w:eastAsia="Times New Roman" w:hAnsi="Garamond"/>
                <w:sz w:val="20"/>
                <w:szCs w:val="20"/>
              </w:rPr>
              <w:t>ą dwie</w:t>
            </w:r>
            <w:r>
              <w:rPr>
                <w:rFonts w:ascii="Garamond" w:eastAsia="Times New Roman" w:hAnsi="Garamond"/>
                <w:sz w:val="20"/>
                <w:szCs w:val="20"/>
              </w:rPr>
              <w:t xml:space="preserve"> piwnic</w:t>
            </w:r>
            <w:r>
              <w:rPr>
                <w:rFonts w:ascii="Garamond" w:eastAsia="Times New Roman" w:hAnsi="Garamond"/>
                <w:sz w:val="20"/>
                <w:szCs w:val="20"/>
              </w:rPr>
              <w:t>e</w:t>
            </w:r>
            <w:r>
              <w:rPr>
                <w:rFonts w:ascii="Garamond" w:eastAsia="Times New Roman" w:hAnsi="Garamond"/>
                <w:sz w:val="20"/>
                <w:szCs w:val="20"/>
              </w:rPr>
              <w:t xml:space="preserve"> o </w:t>
            </w:r>
            <w:r w:rsidR="00307D19">
              <w:rPr>
                <w:rFonts w:ascii="Garamond" w:eastAsia="Times New Roman" w:hAnsi="Garamond"/>
                <w:sz w:val="20"/>
                <w:szCs w:val="20"/>
              </w:rPr>
              <w:t xml:space="preserve">łącznej </w:t>
            </w:r>
            <w:r>
              <w:rPr>
                <w:rFonts w:ascii="Garamond" w:eastAsia="Times New Roman" w:hAnsi="Garamond"/>
                <w:sz w:val="20"/>
                <w:szCs w:val="20"/>
              </w:rPr>
              <w:t xml:space="preserve">pow. użytkowej </w:t>
            </w:r>
            <w:r w:rsidR="00307D19">
              <w:rPr>
                <w:rFonts w:ascii="Garamond" w:eastAsia="Times New Roman" w:hAnsi="Garamond"/>
                <w:sz w:val="20"/>
                <w:szCs w:val="20"/>
              </w:rPr>
              <w:t>21</w:t>
            </w:r>
            <w:r>
              <w:rPr>
                <w:rFonts w:ascii="Garamond" w:eastAsia="Times New Roman" w:hAnsi="Garamond"/>
                <w:sz w:val="20"/>
                <w:szCs w:val="20"/>
              </w:rPr>
              <w:t>,</w:t>
            </w:r>
            <w:r w:rsidR="00307D19">
              <w:rPr>
                <w:rFonts w:ascii="Garamond" w:eastAsia="Times New Roman" w:hAnsi="Garamond"/>
                <w:sz w:val="20"/>
                <w:szCs w:val="20"/>
              </w:rPr>
              <w:t>2</w:t>
            </w:r>
            <w:r>
              <w:rPr>
                <w:rFonts w:ascii="Garamond" w:eastAsia="Times New Roman" w:hAnsi="Garamond"/>
                <w:sz w:val="20"/>
                <w:szCs w:val="20"/>
              </w:rPr>
              <w:t>0 m</w:t>
            </w:r>
            <w:r>
              <w:rPr>
                <w:rFonts w:ascii="Garamond" w:eastAsia="Times New Roman" w:hAnsi="Garamond"/>
                <w:sz w:val="20"/>
                <w:szCs w:val="20"/>
                <w:vertAlign w:val="superscript"/>
              </w:rPr>
              <w:t>2</w:t>
            </w:r>
            <w:r w:rsidR="00307D19">
              <w:rPr>
                <w:rFonts w:ascii="Garamond" w:eastAsia="Times New Roman" w:hAnsi="Garamond"/>
                <w:sz w:val="20"/>
                <w:szCs w:val="20"/>
              </w:rPr>
              <w:t xml:space="preserve">. </w:t>
            </w:r>
            <w:r>
              <w:rPr>
                <w:rFonts w:ascii="Garamond" w:eastAsia="Times New Roman" w:hAnsi="Garamond"/>
                <w:sz w:val="20"/>
                <w:szCs w:val="20"/>
              </w:rPr>
              <w:t>Budynek, w którym znajduje się przedmiotowy lokal, składa się z czterech lokali mieszkalnych. Lokal wolny jest od obciążeń i zobowiązań osób trzecich.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60F2" w14:textId="77777777" w:rsidR="00F00CCB" w:rsidRDefault="00F00CCB">
            <w:pPr>
              <w:spacing w:line="240" w:lineRule="auto"/>
              <w:rPr>
                <w:rFonts w:ascii="Garamond" w:eastAsia="Times New Roman" w:hAnsi="Garamond"/>
                <w:b/>
              </w:rPr>
            </w:pPr>
          </w:p>
          <w:p w14:paraId="0A18EC4C" w14:textId="38EC8B12" w:rsidR="00F00CCB" w:rsidRDefault="00F00CCB">
            <w:pPr>
              <w:spacing w:line="240" w:lineRule="auto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 xml:space="preserve">Lokal – </w:t>
            </w:r>
            <w:r>
              <w:rPr>
                <w:rFonts w:ascii="Garamond" w:eastAsia="Times New Roman" w:hAnsi="Garamond"/>
                <w:b/>
              </w:rPr>
              <w:t>35</w:t>
            </w:r>
            <w:r>
              <w:rPr>
                <w:rFonts w:ascii="Garamond" w:eastAsia="Times New Roman" w:hAnsi="Garamond"/>
                <w:b/>
              </w:rPr>
              <w:t>.</w:t>
            </w:r>
            <w:r>
              <w:rPr>
                <w:rFonts w:ascii="Garamond" w:eastAsia="Times New Roman" w:hAnsi="Garamond"/>
                <w:b/>
              </w:rPr>
              <w:t>0</w:t>
            </w:r>
            <w:r>
              <w:rPr>
                <w:rFonts w:ascii="Garamond" w:eastAsia="Times New Roman" w:hAnsi="Garamond"/>
                <w:b/>
              </w:rPr>
              <w:t>00,00 zł</w:t>
            </w:r>
          </w:p>
          <w:p w14:paraId="792DE4EA" w14:textId="2BB4C260" w:rsidR="00F00CCB" w:rsidRDefault="00F00CCB">
            <w:pPr>
              <w:spacing w:line="240" w:lineRule="auto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wartość udziału               w gruncie (</w:t>
            </w:r>
            <w:r>
              <w:rPr>
                <w:rFonts w:ascii="Garamond" w:eastAsia="Times New Roman" w:hAnsi="Garamond"/>
                <w:b/>
              </w:rPr>
              <w:t>210</w:t>
            </w:r>
            <w:r>
              <w:rPr>
                <w:rFonts w:ascii="Garamond" w:eastAsia="Times New Roman" w:hAnsi="Garamond"/>
                <w:b/>
              </w:rPr>
              <w:t>/1000)</w:t>
            </w:r>
          </w:p>
          <w:p w14:paraId="70B3E5E2" w14:textId="0026F7E6" w:rsidR="00F00CCB" w:rsidRDefault="00F00CCB">
            <w:pPr>
              <w:spacing w:line="240" w:lineRule="auto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 xml:space="preserve">- </w:t>
            </w:r>
            <w:r>
              <w:rPr>
                <w:rFonts w:ascii="Garamond" w:eastAsia="Times New Roman" w:hAnsi="Garamond"/>
                <w:b/>
              </w:rPr>
              <w:t>8</w:t>
            </w:r>
            <w:r>
              <w:rPr>
                <w:rFonts w:ascii="Garamond" w:eastAsia="Times New Roman" w:hAnsi="Garamond"/>
                <w:b/>
              </w:rPr>
              <w:t>.</w:t>
            </w:r>
            <w:r>
              <w:rPr>
                <w:rFonts w:ascii="Garamond" w:eastAsia="Times New Roman" w:hAnsi="Garamond"/>
                <w:b/>
              </w:rPr>
              <w:t>2</w:t>
            </w:r>
            <w:r>
              <w:rPr>
                <w:rFonts w:ascii="Garamond" w:eastAsia="Times New Roman" w:hAnsi="Garamond"/>
                <w:b/>
              </w:rPr>
              <w:t>00,00 zł.</w:t>
            </w:r>
          </w:p>
          <w:p w14:paraId="4086F920" w14:textId="77777777" w:rsidR="00F00CCB" w:rsidRDefault="00F00CCB">
            <w:pPr>
              <w:spacing w:line="240" w:lineRule="auto"/>
              <w:jc w:val="center"/>
              <w:rPr>
                <w:rFonts w:ascii="Garamond" w:eastAsia="Times New Roman" w:hAnsi="Garamond"/>
                <w:b/>
              </w:rPr>
            </w:pPr>
          </w:p>
          <w:p w14:paraId="15101B5E" w14:textId="77777777" w:rsidR="00F00CCB" w:rsidRDefault="00F00CCB">
            <w:pPr>
              <w:spacing w:line="240" w:lineRule="auto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Razem</w:t>
            </w:r>
          </w:p>
          <w:p w14:paraId="25F6975A" w14:textId="0C454841" w:rsidR="00F00CCB" w:rsidRDefault="00F00CCB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</w:rPr>
              <w:t>43</w:t>
            </w:r>
            <w:r>
              <w:rPr>
                <w:rFonts w:ascii="Garamond" w:eastAsia="Times New Roman" w:hAnsi="Garamond"/>
                <w:b/>
                <w:sz w:val="24"/>
                <w:szCs w:val="24"/>
              </w:rPr>
              <w:t>.</w:t>
            </w:r>
            <w:r>
              <w:rPr>
                <w:rFonts w:ascii="Garamond" w:eastAsia="Times New Roman" w:hAnsi="Garamond"/>
                <w:b/>
                <w:sz w:val="24"/>
                <w:szCs w:val="24"/>
              </w:rPr>
              <w:t>2</w:t>
            </w:r>
            <w:r>
              <w:rPr>
                <w:rFonts w:ascii="Garamond" w:eastAsia="Times New Roman" w:hAnsi="Garamond"/>
                <w:b/>
                <w:sz w:val="24"/>
                <w:szCs w:val="24"/>
              </w:rPr>
              <w:t>00,00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2600" w14:textId="77777777" w:rsidR="00F00CCB" w:rsidRDefault="00F00CCB">
            <w:pPr>
              <w:spacing w:after="120" w:line="240" w:lineRule="auto"/>
              <w:rPr>
                <w:rFonts w:ascii="Garamond" w:eastAsia="Times New Roman" w:hAnsi="Garamond"/>
                <w:b/>
                <w:sz w:val="28"/>
                <w:szCs w:val="28"/>
              </w:rPr>
            </w:pPr>
          </w:p>
          <w:p w14:paraId="5FD37A5B" w14:textId="77777777" w:rsidR="00F00CCB" w:rsidRDefault="00F00CCB">
            <w:pPr>
              <w:spacing w:after="120" w:line="240" w:lineRule="auto"/>
              <w:rPr>
                <w:rFonts w:ascii="Garamond" w:eastAsia="Times New Roman" w:hAnsi="Garamond"/>
                <w:b/>
                <w:sz w:val="28"/>
                <w:szCs w:val="28"/>
              </w:rPr>
            </w:pPr>
          </w:p>
          <w:p w14:paraId="4F09E347" w14:textId="5253A112" w:rsidR="00F00CCB" w:rsidRDefault="00F00CCB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</w:rPr>
              <w:t>4</w:t>
            </w:r>
            <w:r>
              <w:rPr>
                <w:rFonts w:ascii="Garamond" w:eastAsia="Times New Roman" w:hAnsi="Garamond"/>
                <w:b/>
                <w:sz w:val="24"/>
                <w:szCs w:val="24"/>
              </w:rPr>
              <w:t>.</w:t>
            </w:r>
            <w:r>
              <w:rPr>
                <w:rFonts w:ascii="Garamond" w:eastAsia="Times New Roman" w:hAnsi="Garamond"/>
                <w:b/>
                <w:sz w:val="24"/>
                <w:szCs w:val="24"/>
              </w:rPr>
              <w:t>32</w:t>
            </w:r>
            <w:r>
              <w:rPr>
                <w:rFonts w:ascii="Garamond" w:eastAsia="Times New Roman" w:hAnsi="Garamond"/>
                <w:b/>
                <w:sz w:val="24"/>
                <w:szCs w:val="24"/>
              </w:rPr>
              <w:t>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09B0" w14:textId="77777777" w:rsidR="00F00CCB" w:rsidRDefault="00F00CCB">
            <w:pPr>
              <w:spacing w:after="120" w:line="240" w:lineRule="auto"/>
              <w:jc w:val="both"/>
              <w:rPr>
                <w:rFonts w:ascii="Garamond" w:eastAsia="Times New Roman" w:hAnsi="Garamond"/>
                <w:bCs/>
                <w:color w:val="000000"/>
                <w:sz w:val="28"/>
                <w:szCs w:val="28"/>
              </w:rPr>
            </w:pPr>
          </w:p>
          <w:p w14:paraId="2ABD782F" w14:textId="77777777" w:rsidR="00F00CCB" w:rsidRDefault="00F00CCB">
            <w:pPr>
              <w:spacing w:after="120" w:line="240" w:lineRule="auto"/>
              <w:jc w:val="both"/>
              <w:rPr>
                <w:rFonts w:ascii="Garamond" w:eastAsia="Times New Roman" w:hAnsi="Garamond"/>
                <w:bCs/>
                <w:color w:val="000000"/>
                <w:sz w:val="28"/>
                <w:szCs w:val="28"/>
              </w:rPr>
            </w:pPr>
          </w:p>
          <w:p w14:paraId="41B87559" w14:textId="77777777" w:rsidR="00F00CCB" w:rsidRDefault="00F00CCB">
            <w:pPr>
              <w:spacing w:after="120" w:line="240" w:lineRule="auto"/>
              <w:jc w:val="both"/>
              <w:rPr>
                <w:rFonts w:ascii="Garamond" w:eastAsia="Times New Roman" w:hAnsi="Garamond"/>
                <w:bCs/>
                <w:color w:val="000000"/>
                <w:sz w:val="28"/>
                <w:szCs w:val="28"/>
              </w:rPr>
            </w:pPr>
          </w:p>
          <w:p w14:paraId="5C7A9BBD" w14:textId="77777777" w:rsidR="00F00CCB" w:rsidRDefault="00F00CCB">
            <w:pPr>
              <w:spacing w:after="12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9BA4" w14:textId="77777777" w:rsidR="00F00CCB" w:rsidRDefault="00F00CCB">
            <w:pPr>
              <w:spacing w:line="240" w:lineRule="auto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</w:p>
          <w:p w14:paraId="6020D7B0" w14:textId="77777777" w:rsidR="00F00CCB" w:rsidRDefault="00F00CCB">
            <w:pPr>
              <w:spacing w:line="240" w:lineRule="auto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Lokal do remontu.</w:t>
            </w:r>
          </w:p>
          <w:p w14:paraId="66FF7777" w14:textId="77777777" w:rsidR="00F00CCB" w:rsidRDefault="00F00CCB">
            <w:pPr>
              <w:spacing w:line="240" w:lineRule="auto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Układ funkcjonalny</w:t>
            </w:r>
          </w:p>
          <w:p w14:paraId="71970C16" w14:textId="1257E784" w:rsidR="00F00CCB" w:rsidRDefault="00F00CCB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–</w:t>
            </w:r>
            <w:r>
              <w:rPr>
                <w:rFonts w:ascii="Garamond" w:eastAsia="Times New Roman" w:hAnsi="Garamond"/>
                <w:sz w:val="20"/>
                <w:szCs w:val="20"/>
              </w:rPr>
              <w:t xml:space="preserve"> nie</w:t>
            </w:r>
            <w:r>
              <w:rPr>
                <w:rFonts w:ascii="Garamond" w:eastAsia="Times New Roman" w:hAnsi="Garamond"/>
                <w:sz w:val="20"/>
                <w:szCs w:val="20"/>
              </w:rPr>
              <w:t>korzystny</w:t>
            </w:r>
            <w:r w:rsidR="00307D19">
              <w:rPr>
                <w:rFonts w:ascii="Garamond" w:eastAsia="Times New Roman" w:hAnsi="Garamond"/>
                <w:sz w:val="20"/>
                <w:szCs w:val="20"/>
              </w:rPr>
              <w:t>, położony na dwóch kondygnacjach budynku</w:t>
            </w:r>
            <w:r>
              <w:rPr>
                <w:rFonts w:ascii="Garamond" w:eastAsia="Times New Roman" w:hAnsi="Garamond"/>
                <w:sz w:val="20"/>
                <w:szCs w:val="20"/>
              </w:rPr>
              <w:t xml:space="preserve">. </w:t>
            </w:r>
          </w:p>
        </w:tc>
      </w:tr>
    </w:tbl>
    <w:p w14:paraId="7E6F695D" w14:textId="4AB3C170" w:rsidR="00F00CCB" w:rsidRDefault="00F00CCB" w:rsidP="00F00CCB">
      <w:pPr>
        <w:spacing w:after="120" w:line="240" w:lineRule="auto"/>
        <w:jc w:val="both"/>
        <w:rPr>
          <w:rFonts w:ascii="Garamond" w:eastAsia="Times New Roman" w:hAnsi="Garamond"/>
          <w:b/>
          <w:bCs/>
          <w:color w:val="000000"/>
          <w:sz w:val="28"/>
          <w:szCs w:val="28"/>
          <w:lang w:eastAsia="pl-PL"/>
        </w:rPr>
      </w:pPr>
      <w:r>
        <w:rPr>
          <w:rFonts w:ascii="Garamond" w:eastAsia="Times New Roman" w:hAnsi="Garamond"/>
          <w:b/>
          <w:bCs/>
          <w:color w:val="000000"/>
          <w:sz w:val="28"/>
          <w:szCs w:val="28"/>
          <w:lang w:eastAsia="pl-PL"/>
        </w:rPr>
        <w:t xml:space="preserve">Przetarg odbędzie się dnia </w:t>
      </w:r>
      <w:r>
        <w:rPr>
          <w:rFonts w:ascii="Garamond" w:eastAsia="Times New Roman" w:hAnsi="Garamond"/>
          <w:b/>
          <w:bCs/>
          <w:color w:val="000000"/>
          <w:sz w:val="28"/>
          <w:szCs w:val="28"/>
          <w:lang w:eastAsia="pl-PL"/>
        </w:rPr>
        <w:t>11</w:t>
      </w:r>
      <w:r>
        <w:rPr>
          <w:rFonts w:ascii="Garamond" w:eastAsia="Times New Roman" w:hAnsi="Garamond"/>
          <w:b/>
          <w:bCs/>
          <w:color w:val="000000"/>
          <w:sz w:val="28"/>
          <w:szCs w:val="28"/>
          <w:lang w:eastAsia="pl-PL"/>
        </w:rPr>
        <w:t xml:space="preserve"> </w:t>
      </w:r>
      <w:r>
        <w:rPr>
          <w:rFonts w:ascii="Garamond" w:eastAsia="Times New Roman" w:hAnsi="Garamond"/>
          <w:b/>
          <w:bCs/>
          <w:color w:val="000000"/>
          <w:sz w:val="28"/>
          <w:szCs w:val="28"/>
          <w:lang w:eastAsia="pl-PL"/>
        </w:rPr>
        <w:t>kwietnia</w:t>
      </w:r>
      <w:r>
        <w:rPr>
          <w:rFonts w:ascii="Garamond" w:eastAsia="Times New Roman" w:hAnsi="Garamond"/>
          <w:b/>
          <w:bCs/>
          <w:color w:val="000000"/>
          <w:sz w:val="28"/>
          <w:szCs w:val="28"/>
          <w:lang w:eastAsia="pl-PL"/>
        </w:rPr>
        <w:t xml:space="preserve"> 202</w:t>
      </w:r>
      <w:r>
        <w:rPr>
          <w:rFonts w:ascii="Garamond" w:eastAsia="Times New Roman" w:hAnsi="Garamond"/>
          <w:b/>
          <w:bCs/>
          <w:color w:val="000000"/>
          <w:sz w:val="28"/>
          <w:szCs w:val="28"/>
          <w:lang w:eastAsia="pl-PL"/>
        </w:rPr>
        <w:t>4</w:t>
      </w:r>
      <w:r>
        <w:rPr>
          <w:rFonts w:ascii="Garamond" w:eastAsia="Times New Roman" w:hAnsi="Garamond"/>
          <w:b/>
          <w:bCs/>
          <w:color w:val="000000"/>
          <w:sz w:val="28"/>
          <w:szCs w:val="28"/>
          <w:lang w:eastAsia="pl-PL"/>
        </w:rPr>
        <w:t xml:space="preserve"> roku o godz. 10ºº w sali narad nr 102 Urzędu Miejskiego w Gubinie, </w:t>
      </w:r>
      <w:r>
        <w:rPr>
          <w:rFonts w:ascii="Garamond" w:eastAsia="Times New Roman" w:hAnsi="Garamond"/>
          <w:b/>
          <w:bCs/>
          <w:color w:val="000000"/>
          <w:sz w:val="28"/>
          <w:szCs w:val="28"/>
          <w:lang w:eastAsia="pl-PL"/>
        </w:rPr>
        <w:br/>
        <w:t xml:space="preserve">ul. Piastowska 24. </w:t>
      </w:r>
    </w:p>
    <w:p w14:paraId="132A1A03" w14:textId="77777777" w:rsidR="00F00CCB" w:rsidRDefault="00F00CCB" w:rsidP="00F00CCB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Nieruchomość stanowi własność Gminy Gubin o statusie miejskim. </w:t>
      </w:r>
    </w:p>
    <w:p w14:paraId="51349711" w14:textId="6003905E" w:rsidR="00F00CCB" w:rsidRDefault="00F00CCB" w:rsidP="00F00CCB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W przetargu mogą brać udział osoby fizyczne i prawne, które wpłacą wadium w wysokości </w:t>
      </w:r>
      <w:r>
        <w:rPr>
          <w:rFonts w:ascii="Garamond" w:eastAsia="Times New Roman" w:hAnsi="Garamond"/>
          <w:b/>
          <w:lang w:eastAsia="pl-PL"/>
        </w:rPr>
        <w:t>10 % ceny wywoławczej</w:t>
      </w:r>
      <w:r>
        <w:rPr>
          <w:rFonts w:ascii="Garamond" w:eastAsia="Times New Roman" w:hAnsi="Garamond"/>
          <w:lang w:eastAsia="pl-PL"/>
        </w:rPr>
        <w:t xml:space="preserve"> w formie pieniądza, przelewem lub wpłatą na rachunek bankowy Gminy Gubin o statusie miejskim, na konto  </w:t>
      </w:r>
      <w:r>
        <w:rPr>
          <w:rFonts w:ascii="Garamond" w:eastAsia="Times New Roman" w:hAnsi="Garamond"/>
          <w:b/>
          <w:lang w:eastAsia="pl-PL"/>
        </w:rPr>
        <w:t>PKO BP 0/Zielona Góra nr 13102054020000050200278747</w:t>
      </w:r>
      <w:r>
        <w:rPr>
          <w:rFonts w:ascii="Garamond" w:eastAsia="Times New Roman" w:hAnsi="Garamond"/>
          <w:lang w:eastAsia="pl-PL"/>
        </w:rPr>
        <w:t>, w taki sposób, aby najpóźniej</w:t>
      </w:r>
      <w:r>
        <w:rPr>
          <w:rFonts w:ascii="Garamond" w:eastAsia="Times New Roman" w:hAnsi="Garamond"/>
          <w:b/>
          <w:lang w:eastAsia="pl-PL"/>
        </w:rPr>
        <w:t xml:space="preserve"> </w:t>
      </w:r>
      <w:r>
        <w:rPr>
          <w:rFonts w:ascii="Garamond" w:eastAsia="Times New Roman" w:hAnsi="Garamond"/>
          <w:b/>
          <w:lang w:eastAsia="pl-PL"/>
        </w:rPr>
        <w:br/>
      </w:r>
      <w:r>
        <w:rPr>
          <w:rFonts w:ascii="Garamond" w:eastAsia="Times New Roman" w:hAnsi="Garamond"/>
          <w:b/>
          <w:u w:val="single"/>
          <w:lang w:eastAsia="pl-PL"/>
        </w:rPr>
        <w:t>w dniu 0</w:t>
      </w:r>
      <w:r>
        <w:rPr>
          <w:rFonts w:ascii="Garamond" w:eastAsia="Times New Roman" w:hAnsi="Garamond"/>
          <w:b/>
          <w:u w:val="single"/>
          <w:lang w:eastAsia="pl-PL"/>
        </w:rPr>
        <w:t>8</w:t>
      </w:r>
      <w:r>
        <w:rPr>
          <w:rFonts w:ascii="Garamond" w:eastAsia="Times New Roman" w:hAnsi="Garamond"/>
          <w:b/>
          <w:u w:val="single"/>
          <w:lang w:eastAsia="pl-PL"/>
        </w:rPr>
        <w:t xml:space="preserve"> </w:t>
      </w:r>
      <w:r>
        <w:rPr>
          <w:rFonts w:ascii="Garamond" w:eastAsia="Times New Roman" w:hAnsi="Garamond"/>
          <w:b/>
          <w:u w:val="single"/>
          <w:lang w:eastAsia="pl-PL"/>
        </w:rPr>
        <w:t>kwietnia</w:t>
      </w:r>
      <w:r>
        <w:rPr>
          <w:rFonts w:ascii="Garamond" w:eastAsia="Times New Roman" w:hAnsi="Garamond"/>
          <w:b/>
          <w:u w:val="single"/>
          <w:lang w:eastAsia="pl-PL"/>
        </w:rPr>
        <w:t xml:space="preserve"> 202</w:t>
      </w:r>
      <w:r>
        <w:rPr>
          <w:rFonts w:ascii="Garamond" w:eastAsia="Times New Roman" w:hAnsi="Garamond"/>
          <w:b/>
          <w:u w:val="single"/>
          <w:lang w:eastAsia="pl-PL"/>
        </w:rPr>
        <w:t>4</w:t>
      </w:r>
      <w:r>
        <w:rPr>
          <w:rFonts w:ascii="Garamond" w:eastAsia="Times New Roman" w:hAnsi="Garamond"/>
          <w:b/>
          <w:u w:val="single"/>
          <w:lang w:eastAsia="pl-PL"/>
        </w:rPr>
        <w:t xml:space="preserve"> r</w:t>
      </w:r>
      <w:r>
        <w:rPr>
          <w:rFonts w:ascii="Garamond" w:eastAsia="Times New Roman" w:hAnsi="Garamond"/>
          <w:u w:val="single"/>
          <w:lang w:eastAsia="pl-PL"/>
        </w:rPr>
        <w:t>.</w:t>
      </w:r>
      <w:r>
        <w:rPr>
          <w:rFonts w:ascii="Garamond" w:eastAsia="Times New Roman" w:hAnsi="Garamond"/>
          <w:lang w:eastAsia="pl-PL"/>
        </w:rPr>
        <w:t xml:space="preserve"> wadium znajdowało się na rachunku bankowym Gminy Gubin o statusie miejskim. </w:t>
      </w:r>
    </w:p>
    <w:p w14:paraId="699446EF" w14:textId="77777777" w:rsidR="00F00CCB" w:rsidRDefault="00F00CCB" w:rsidP="00F00CCB">
      <w:p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Osoby przystępujące do przetargu, zobowiązane są do zapoznania się ze stanem faktycznym nieruchomości lokalowej, będącej przedmiotem przetargu, poprzez dokonanie oględzin oraz do zapoznania się z dokumentacją formalno-prawną. </w:t>
      </w:r>
    </w:p>
    <w:p w14:paraId="78721DE8" w14:textId="77777777" w:rsidR="00F00CCB" w:rsidRDefault="00F00CCB" w:rsidP="00F00CCB">
      <w:p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Przetarg przeprowadzi komisja w składzie wyznaczonym </w:t>
      </w: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w </w:t>
      </w:r>
      <w:r>
        <w:rPr>
          <w:rFonts w:ascii="Garamond" w:eastAsia="Times New Roman" w:hAnsi="Garamond"/>
          <w:sz w:val="20"/>
          <w:szCs w:val="20"/>
          <w:lang w:eastAsia="pl-PL"/>
        </w:rPr>
        <w:t>§ 1 Zarządzenia nr 143.2022 Burmistrza Miasta Gubina z dnia 12 maja 2022 r</w:t>
      </w:r>
      <w:r>
        <w:rPr>
          <w:rFonts w:ascii="Garamond" w:eastAsia="Times New Roman" w:hAnsi="Garamond"/>
          <w:lang w:eastAsia="pl-PL"/>
        </w:rPr>
        <w:t xml:space="preserve">. </w:t>
      </w:r>
    </w:p>
    <w:p w14:paraId="4CF23A60" w14:textId="77777777" w:rsidR="00F00CCB" w:rsidRDefault="00F00CCB" w:rsidP="00F00CCB">
      <w:p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Przed otwarciem przetargu jego uczestnik winien przedłożyć komisji przetargowej dowód wpłaty wadium oraz dowód tożsamości, a osoba reprezentująca </w:t>
      </w:r>
      <w:r>
        <w:rPr>
          <w:rFonts w:ascii="Garamond" w:eastAsia="Times New Roman" w:hAnsi="Garamond"/>
          <w:lang w:eastAsia="pl-PL"/>
        </w:rPr>
        <w:br/>
        <w:t xml:space="preserve">w przetargu musi okazać się pełnomocnictwem notarialnym lub z notarialnie poświadczonym podpisem mocodawcy. Wadium wpłacone przez uczestnika, który przetarg wygrał, zalicza się na poczet ceny nabycia nieruchomości. Wadium ulega przepadkowi w razie uchylenia się uczestnika, który przetarg wygrał, od podpisania </w:t>
      </w:r>
      <w:r>
        <w:rPr>
          <w:rFonts w:ascii="Garamond" w:eastAsia="Times New Roman" w:hAnsi="Garamond"/>
          <w:lang w:eastAsia="pl-PL"/>
        </w:rPr>
        <w:lastRenderedPageBreak/>
        <w:t>umowy notarialnej. Pozostałym uczestnikom przetargu wadium zostanie zwrócone niezwłocznie, w ciągu 3 dni od odwołania, zamknięcia, unieważnienia lub zakończenia wynikiem negatywnym przetargu, w sposób odpowiadający formie wnoszenia.</w:t>
      </w:r>
    </w:p>
    <w:p w14:paraId="03B660B3" w14:textId="77777777" w:rsidR="00F00CCB" w:rsidRDefault="00F00CCB" w:rsidP="00F00CCB">
      <w:p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Nabycie nieruchomości przez cudzoziemców może nastąpić w przypadku uzyskania zezwolenia Ministra Spraw Wewnętrznych, jeżeli wymagają tego przepisy ustawy z dnia 24 marca 1920 r. o nabywaniu nieruchomości przez cudzoziemców (tj. Dz. U. z 2017 r., poz. 2278). Nabywca zobowiązany jest do ustalenia we własnym zakresie, czy nabycie nieruchomości będącej przedmiotem przetargu wymaga takiego zezwolenia.</w:t>
      </w:r>
    </w:p>
    <w:p w14:paraId="06A8751E" w14:textId="77777777" w:rsidR="00F00CCB" w:rsidRDefault="00F00CCB" w:rsidP="00F00CCB">
      <w:p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Koszty przygotowania dokumentacji, sporządzenia umowy notarialnej i opłaty sądowe w całości ponosi nabywca.  </w:t>
      </w:r>
    </w:p>
    <w:p w14:paraId="07A1BB52" w14:textId="3355F49F" w:rsidR="00F00CCB" w:rsidRDefault="00F00CCB" w:rsidP="00F00CCB">
      <w:p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Cena sprzedaży lokalu mieszkalnego zwolniona jest z podatku VAT, na podstawie art. 43 ust. 1 pkt 10 ustawy z dnia 11 marca 2004 r. o podatku od towaru i usług (Dz. U. z 202</w:t>
      </w:r>
      <w:r w:rsidR="009C1F4D">
        <w:rPr>
          <w:rFonts w:ascii="Garamond" w:eastAsia="Times New Roman" w:hAnsi="Garamond"/>
          <w:lang w:eastAsia="pl-PL"/>
        </w:rPr>
        <w:t>3</w:t>
      </w:r>
      <w:r>
        <w:rPr>
          <w:rFonts w:ascii="Garamond" w:eastAsia="Times New Roman" w:hAnsi="Garamond"/>
          <w:lang w:eastAsia="pl-PL"/>
        </w:rPr>
        <w:t xml:space="preserve"> r. poz. </w:t>
      </w:r>
      <w:r w:rsidR="009C1F4D">
        <w:rPr>
          <w:rFonts w:ascii="Garamond" w:eastAsia="Times New Roman" w:hAnsi="Garamond"/>
          <w:lang w:eastAsia="pl-PL"/>
        </w:rPr>
        <w:t>1570</w:t>
      </w:r>
      <w:r>
        <w:rPr>
          <w:rFonts w:ascii="Garamond" w:eastAsia="Times New Roman" w:hAnsi="Garamond"/>
          <w:lang w:eastAsia="pl-PL"/>
        </w:rPr>
        <w:t xml:space="preserve"> z </w:t>
      </w:r>
      <w:proofErr w:type="spellStart"/>
      <w:r>
        <w:rPr>
          <w:rFonts w:ascii="Garamond" w:eastAsia="Times New Roman" w:hAnsi="Garamond"/>
          <w:lang w:eastAsia="pl-PL"/>
        </w:rPr>
        <w:t>późn</w:t>
      </w:r>
      <w:proofErr w:type="spellEnd"/>
      <w:r>
        <w:rPr>
          <w:rFonts w:ascii="Garamond" w:eastAsia="Times New Roman" w:hAnsi="Garamond"/>
          <w:lang w:eastAsia="pl-PL"/>
        </w:rPr>
        <w:t xml:space="preserve">. zm.). </w:t>
      </w:r>
    </w:p>
    <w:p w14:paraId="629BEDD6" w14:textId="42AC0D09" w:rsidR="00F00CCB" w:rsidRDefault="00F00CCB" w:rsidP="00F00CCB">
      <w:p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Przetarg zostanie przeprowadzony zgodnie z Rozporządzeniem Rady Ministrów z dnia 14 września 2004 r. w sprawie sposobu i trybu przeprowadzania przetargów oraz rokowań na zbycie nieruchomości (j. t. Dz. U.  z 2021 r. poz. 2213) i przepisami ustawy z dnia 21 sierpnia 1997 r. o gospodarce nieruchomościami (j. t. Dz. U. </w:t>
      </w:r>
      <w:r>
        <w:rPr>
          <w:rFonts w:ascii="Garamond" w:eastAsia="Times New Roman" w:hAnsi="Garamond"/>
          <w:lang w:eastAsia="pl-PL"/>
        </w:rPr>
        <w:br/>
        <w:t>z 2023 r. poz. 344</w:t>
      </w:r>
      <w:r w:rsidR="009C1F4D">
        <w:rPr>
          <w:rFonts w:ascii="Garamond" w:eastAsia="Times New Roman" w:hAnsi="Garamond"/>
          <w:lang w:eastAsia="pl-PL"/>
        </w:rPr>
        <w:t xml:space="preserve"> z </w:t>
      </w:r>
      <w:proofErr w:type="spellStart"/>
      <w:r w:rsidR="009C1F4D">
        <w:rPr>
          <w:rFonts w:ascii="Garamond" w:eastAsia="Times New Roman" w:hAnsi="Garamond"/>
          <w:lang w:eastAsia="pl-PL"/>
        </w:rPr>
        <w:t>późń</w:t>
      </w:r>
      <w:proofErr w:type="spellEnd"/>
      <w:r w:rsidR="009C1F4D">
        <w:rPr>
          <w:rFonts w:ascii="Garamond" w:eastAsia="Times New Roman" w:hAnsi="Garamond"/>
          <w:lang w:eastAsia="pl-PL"/>
        </w:rPr>
        <w:t>. zm.</w:t>
      </w:r>
      <w:r>
        <w:rPr>
          <w:rFonts w:ascii="Garamond" w:eastAsia="Times New Roman" w:hAnsi="Garamond"/>
          <w:lang w:eastAsia="pl-PL"/>
        </w:rPr>
        <w:t xml:space="preserve">). </w:t>
      </w:r>
    </w:p>
    <w:p w14:paraId="13001BAA" w14:textId="77777777" w:rsidR="00F00CCB" w:rsidRDefault="00F00CCB" w:rsidP="00F00CCB">
      <w:p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Nabywca przyjmuje przedmiot przetargu w stanie istniejącym. Uprzątnięcie rzeczy pozostawionych w lokalu, będącym przedmiotem przetargu, odbędzie się staraniem i na koszt przyszłego nabywcy.</w:t>
      </w:r>
    </w:p>
    <w:p w14:paraId="0631F1F9" w14:textId="77777777" w:rsidR="00F00CCB" w:rsidRDefault="00F00CCB" w:rsidP="00F00CCB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Ogłaszający ma prawo do odwołania przetargu w formie właściwej dla jego ogłoszenia. </w:t>
      </w:r>
    </w:p>
    <w:p w14:paraId="451C8D30" w14:textId="13EC9E84" w:rsidR="00F00CCB" w:rsidRDefault="00F00CCB" w:rsidP="00F00CCB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Ogłoszenie podaje się do publicznej wiadomości na okres 1 miesiąca, począwszy </w:t>
      </w:r>
      <w:r>
        <w:rPr>
          <w:rFonts w:ascii="Garamond" w:eastAsia="Times New Roman" w:hAnsi="Garamond"/>
          <w:b/>
          <w:u w:val="single"/>
          <w:lang w:eastAsia="pl-PL"/>
        </w:rPr>
        <w:t xml:space="preserve">od dnia </w:t>
      </w:r>
      <w:r>
        <w:rPr>
          <w:rFonts w:ascii="Garamond" w:eastAsia="Times New Roman" w:hAnsi="Garamond"/>
          <w:b/>
          <w:u w:val="single"/>
          <w:lang w:eastAsia="pl-PL"/>
        </w:rPr>
        <w:t>22</w:t>
      </w:r>
      <w:r>
        <w:rPr>
          <w:rFonts w:ascii="Garamond" w:eastAsia="Times New Roman" w:hAnsi="Garamond"/>
          <w:b/>
          <w:u w:val="single"/>
          <w:lang w:eastAsia="pl-PL"/>
        </w:rPr>
        <w:t xml:space="preserve"> </w:t>
      </w:r>
      <w:r>
        <w:rPr>
          <w:rFonts w:ascii="Garamond" w:eastAsia="Times New Roman" w:hAnsi="Garamond"/>
          <w:b/>
          <w:u w:val="single"/>
          <w:lang w:eastAsia="pl-PL"/>
        </w:rPr>
        <w:t>lutego</w:t>
      </w:r>
      <w:r>
        <w:rPr>
          <w:rFonts w:ascii="Garamond" w:eastAsia="Times New Roman" w:hAnsi="Garamond"/>
          <w:b/>
          <w:u w:val="single"/>
          <w:lang w:eastAsia="pl-PL"/>
        </w:rPr>
        <w:t xml:space="preserve"> 202</w:t>
      </w:r>
      <w:r>
        <w:rPr>
          <w:rFonts w:ascii="Garamond" w:eastAsia="Times New Roman" w:hAnsi="Garamond"/>
          <w:b/>
          <w:u w:val="single"/>
          <w:lang w:eastAsia="pl-PL"/>
        </w:rPr>
        <w:t>4</w:t>
      </w:r>
      <w:r>
        <w:rPr>
          <w:rFonts w:ascii="Garamond" w:eastAsia="Times New Roman" w:hAnsi="Garamond"/>
          <w:b/>
          <w:u w:val="single"/>
          <w:lang w:eastAsia="pl-PL"/>
        </w:rPr>
        <w:t xml:space="preserve"> roku</w:t>
      </w:r>
      <w:r>
        <w:rPr>
          <w:rFonts w:ascii="Garamond" w:eastAsia="Times New Roman" w:hAnsi="Garamond"/>
          <w:lang w:eastAsia="pl-PL"/>
        </w:rPr>
        <w:t>.</w:t>
      </w:r>
    </w:p>
    <w:p w14:paraId="736138F6" w14:textId="77777777" w:rsidR="00F00CCB" w:rsidRDefault="00F00CCB" w:rsidP="00F00CCB">
      <w:pPr>
        <w:spacing w:after="20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Szczegółowe informacje odnośnie zbywanej nieruchomości można uzyskać w Wydziale Nieruchomości i Współpracy Zagranicznej Urzędu Miejskiego w Gubinie, ul. Piastowska 24 pod numerem tel. 68 455 81 41, w godzinach pracy urzędu. Ogłoszenie o przetargu jest zamieszczone w prasie lokalnej „Wiadomości Gubińskie”, na stronie internetowej Urzędu Miejskiego w Gubinie www.bip.gubin.pl oraz na www.przetargi-komunikaty.pl.</w:t>
      </w:r>
    </w:p>
    <w:p w14:paraId="73D31CFD" w14:textId="77777777" w:rsidR="00F00CCB" w:rsidRDefault="00F00CCB" w:rsidP="00F00CCB">
      <w:pPr>
        <w:spacing w:after="0" w:line="240" w:lineRule="auto"/>
        <w:jc w:val="both"/>
        <w:rPr>
          <w:rFonts w:ascii="Garamond" w:eastAsia="Times New Roman" w:hAnsi="Garamond"/>
          <w:b/>
          <w:i/>
          <w:lang w:eastAsia="pl-PL"/>
        </w:rPr>
      </w:pPr>
      <w:r>
        <w:rPr>
          <w:rFonts w:ascii="Garamond" w:eastAsia="Times New Roman" w:hAnsi="Garamond"/>
          <w:b/>
          <w:i/>
          <w:lang w:eastAsia="pl-PL"/>
        </w:rPr>
        <w:t>Przedmiotowy lokal oglądać można w dniu:</w:t>
      </w:r>
    </w:p>
    <w:p w14:paraId="050C1E35" w14:textId="77777777" w:rsidR="00F00CCB" w:rsidRDefault="00F00CCB" w:rsidP="00F00CCB">
      <w:pPr>
        <w:spacing w:after="0" w:line="240" w:lineRule="auto"/>
        <w:jc w:val="both"/>
        <w:rPr>
          <w:rFonts w:ascii="Garamond" w:eastAsia="Times New Roman" w:hAnsi="Garamond"/>
          <w:b/>
          <w:i/>
          <w:lang w:eastAsia="pl-PL"/>
        </w:rPr>
      </w:pPr>
    </w:p>
    <w:p w14:paraId="3CEF9A51" w14:textId="66497AA1" w:rsidR="00F00CCB" w:rsidRDefault="00F00CCB" w:rsidP="00F00CCB">
      <w:pPr>
        <w:spacing w:after="0" w:line="276" w:lineRule="auto"/>
        <w:jc w:val="both"/>
        <w:rPr>
          <w:rFonts w:ascii="Garamond" w:eastAsia="Times New Roman" w:hAnsi="Garamond"/>
          <w:b/>
          <w:i/>
          <w:lang w:eastAsia="pl-PL"/>
        </w:rPr>
      </w:pPr>
      <w:r>
        <w:rPr>
          <w:rFonts w:ascii="Garamond" w:eastAsia="Times New Roman" w:hAnsi="Garamond"/>
          <w:b/>
          <w:i/>
          <w:lang w:eastAsia="pl-PL"/>
        </w:rPr>
        <w:t xml:space="preserve">- </w:t>
      </w:r>
      <w:r>
        <w:rPr>
          <w:rFonts w:ascii="Garamond" w:eastAsia="Times New Roman" w:hAnsi="Garamond"/>
          <w:b/>
          <w:i/>
          <w:lang w:eastAsia="pl-PL"/>
        </w:rPr>
        <w:t>26</w:t>
      </w:r>
      <w:r>
        <w:rPr>
          <w:rFonts w:ascii="Garamond" w:eastAsia="Times New Roman" w:hAnsi="Garamond"/>
          <w:b/>
          <w:i/>
          <w:lang w:eastAsia="pl-PL"/>
        </w:rPr>
        <w:t xml:space="preserve"> </w:t>
      </w:r>
      <w:r>
        <w:rPr>
          <w:rFonts w:ascii="Garamond" w:eastAsia="Times New Roman" w:hAnsi="Garamond"/>
          <w:b/>
          <w:i/>
          <w:lang w:eastAsia="pl-PL"/>
        </w:rPr>
        <w:t>marca</w:t>
      </w:r>
      <w:r>
        <w:rPr>
          <w:rFonts w:ascii="Garamond" w:eastAsia="Times New Roman" w:hAnsi="Garamond"/>
          <w:b/>
          <w:i/>
          <w:lang w:eastAsia="pl-PL"/>
        </w:rPr>
        <w:t xml:space="preserve"> 202</w:t>
      </w:r>
      <w:r>
        <w:rPr>
          <w:rFonts w:ascii="Garamond" w:eastAsia="Times New Roman" w:hAnsi="Garamond"/>
          <w:b/>
          <w:i/>
          <w:lang w:eastAsia="pl-PL"/>
        </w:rPr>
        <w:t>4</w:t>
      </w:r>
      <w:r>
        <w:rPr>
          <w:rFonts w:ascii="Garamond" w:eastAsia="Times New Roman" w:hAnsi="Garamond"/>
          <w:b/>
          <w:i/>
          <w:lang w:eastAsia="pl-PL"/>
        </w:rPr>
        <w:t xml:space="preserve"> r.  w godz.  14:30 – 15:00, lokal nr </w:t>
      </w:r>
      <w:r>
        <w:rPr>
          <w:rFonts w:ascii="Garamond" w:eastAsia="Times New Roman" w:hAnsi="Garamond"/>
          <w:b/>
          <w:i/>
          <w:lang w:eastAsia="pl-PL"/>
        </w:rPr>
        <w:t>1A</w:t>
      </w:r>
      <w:r>
        <w:rPr>
          <w:rFonts w:ascii="Garamond" w:eastAsia="Times New Roman" w:hAnsi="Garamond"/>
          <w:b/>
          <w:i/>
          <w:lang w:eastAsia="pl-PL"/>
        </w:rPr>
        <w:t xml:space="preserve"> w budynku przy ulicy </w:t>
      </w:r>
      <w:r>
        <w:rPr>
          <w:rFonts w:ascii="Garamond" w:eastAsia="Times New Roman" w:hAnsi="Garamond"/>
          <w:b/>
          <w:i/>
          <w:lang w:eastAsia="pl-PL"/>
        </w:rPr>
        <w:t>Gen. Sikorskiego 63</w:t>
      </w:r>
      <w:r>
        <w:rPr>
          <w:rFonts w:ascii="Garamond" w:eastAsia="Times New Roman" w:hAnsi="Garamond"/>
          <w:b/>
          <w:i/>
          <w:lang w:eastAsia="pl-PL"/>
        </w:rPr>
        <w:t>.</w:t>
      </w:r>
    </w:p>
    <w:p w14:paraId="4EFFDEB4" w14:textId="77777777" w:rsidR="00F00CCB" w:rsidRDefault="00F00CCB" w:rsidP="00F00CCB">
      <w:pPr>
        <w:spacing w:after="200" w:line="276" w:lineRule="auto"/>
        <w:rPr>
          <w:rFonts w:eastAsia="Times New Roman"/>
          <w:lang w:eastAsia="pl-PL"/>
        </w:rPr>
      </w:pPr>
    </w:p>
    <w:p w14:paraId="490F91F5" w14:textId="77777777" w:rsidR="00F00CCB" w:rsidRDefault="00F00CCB" w:rsidP="00F00CCB">
      <w:pPr>
        <w:spacing w:after="200" w:line="276" w:lineRule="auto"/>
        <w:rPr>
          <w:rFonts w:eastAsia="Times New Roman"/>
          <w:lang w:eastAsia="pl-PL"/>
        </w:rPr>
      </w:pPr>
    </w:p>
    <w:p w14:paraId="755F336D" w14:textId="77777777" w:rsidR="00F00CCB" w:rsidRDefault="00F00CCB" w:rsidP="00F00CCB">
      <w:pPr>
        <w:spacing w:after="200" w:line="276" w:lineRule="auto"/>
        <w:rPr>
          <w:rFonts w:eastAsia="Times New Roman"/>
          <w:lang w:eastAsia="pl-PL"/>
        </w:rPr>
      </w:pPr>
    </w:p>
    <w:p w14:paraId="6044CB1E" w14:textId="77777777" w:rsidR="00F00CCB" w:rsidRDefault="00F00CCB" w:rsidP="00F00CCB">
      <w:pPr>
        <w:spacing w:after="200" w:line="276" w:lineRule="auto"/>
        <w:rPr>
          <w:rFonts w:eastAsia="Times New Roman"/>
          <w:lang w:eastAsia="pl-PL"/>
        </w:rPr>
      </w:pPr>
    </w:p>
    <w:p w14:paraId="4A3114BD" w14:textId="77777777" w:rsidR="00F00CCB" w:rsidRDefault="00F00CCB" w:rsidP="00F00CCB"/>
    <w:p w14:paraId="0FC77CAA" w14:textId="77777777" w:rsidR="00157A71" w:rsidRDefault="00157A71"/>
    <w:sectPr w:rsidR="00157A71" w:rsidSect="00231E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57"/>
    <w:rsid w:val="00055157"/>
    <w:rsid w:val="00157A71"/>
    <w:rsid w:val="00183698"/>
    <w:rsid w:val="00231EC8"/>
    <w:rsid w:val="00307D19"/>
    <w:rsid w:val="009C1F4D"/>
    <w:rsid w:val="00F0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8481"/>
  <w15:chartTrackingRefBased/>
  <w15:docId w15:val="{4858A387-D1A9-4941-B283-9E5D7264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CCB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0CC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3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3</cp:revision>
  <cp:lastPrinted>2024-02-21T09:24:00Z</cp:lastPrinted>
  <dcterms:created xsi:type="dcterms:W3CDTF">2024-02-21T08:58:00Z</dcterms:created>
  <dcterms:modified xsi:type="dcterms:W3CDTF">2024-02-21T10:27:00Z</dcterms:modified>
</cp:coreProperties>
</file>