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9561AF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180975</wp:posOffset>
            </wp:positionV>
            <wp:extent cx="968400" cy="1087200"/>
            <wp:effectExtent l="0" t="0" r="3175" b="0"/>
            <wp:wrapTight wrapText="bothSides">
              <wp:wrapPolygon edited="0">
                <wp:start x="0" y="0"/>
                <wp:lineTo x="0" y="21196"/>
                <wp:lineTo x="21246" y="21196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C06E75" w:rsidRDefault="007A6632" w:rsidP="00C06E75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7A6632" w:rsidRPr="00C06E75" w:rsidRDefault="00C06E75" w:rsidP="00C06E75">
      <w:pPr>
        <w:spacing w:after="0" w:line="240" w:lineRule="auto"/>
        <w:ind w:left="1416" w:right="685"/>
        <w:jc w:val="center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pierwsze rokowania na sprzedaż nieruchomości gruntowej niezabudowanej </w:t>
      </w:r>
      <w:r>
        <w:rPr>
          <w:rFonts w:ascii="Garamond" w:eastAsia="Times New Roman" w:hAnsi="Garamond" w:cs="Times New Roman"/>
          <w:bCs/>
          <w:sz w:val="28"/>
          <w:szCs w:val="28"/>
          <w:lang w:eastAsia="pl-PL"/>
        </w:rPr>
        <w:br/>
        <w:t xml:space="preserve">z przeznaczeniem pod budownictwo </w:t>
      </w:r>
      <w:proofErr w:type="spellStart"/>
      <w:r>
        <w:rPr>
          <w:rFonts w:ascii="Garamond" w:eastAsia="Times New Roman" w:hAnsi="Garamond" w:cs="Times New Roman"/>
          <w:bCs/>
          <w:sz w:val="28"/>
          <w:szCs w:val="28"/>
          <w:lang w:eastAsia="pl-PL"/>
        </w:rPr>
        <w:t>produkcyjno</w:t>
      </w:r>
      <w:proofErr w:type="spellEnd"/>
      <w:r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- usługowe</w:t>
      </w:r>
    </w:p>
    <w:p w:rsidR="00C06E75" w:rsidRDefault="00C06E7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C06E75" w:rsidRDefault="00C06E7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959"/>
        <w:gridCol w:w="1469"/>
        <w:gridCol w:w="1508"/>
        <w:gridCol w:w="2126"/>
        <w:gridCol w:w="1276"/>
        <w:gridCol w:w="6804"/>
      </w:tblGrid>
      <w:tr w:rsidR="00C06E75" w:rsidTr="00656CF9">
        <w:tc>
          <w:tcPr>
            <w:tcW w:w="959" w:type="dxa"/>
            <w:vAlign w:val="center"/>
          </w:tcPr>
          <w:p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Numer działki</w:t>
            </w:r>
          </w:p>
        </w:tc>
        <w:tc>
          <w:tcPr>
            <w:tcW w:w="1469" w:type="dxa"/>
            <w:vAlign w:val="center"/>
          </w:tcPr>
          <w:p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Powierzchnia (m</w:t>
            </w:r>
            <w:r w:rsidRPr="00CC21E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  <w:r w:rsidRPr="00CC21E5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vAlign w:val="center"/>
          </w:tcPr>
          <w:p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Położenie</w:t>
            </w:r>
          </w:p>
        </w:tc>
        <w:tc>
          <w:tcPr>
            <w:tcW w:w="2126" w:type="dxa"/>
            <w:vAlign w:val="center"/>
          </w:tcPr>
          <w:p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Cena wywoławcza do rokowań (netto zł)</w:t>
            </w:r>
          </w:p>
        </w:tc>
        <w:tc>
          <w:tcPr>
            <w:tcW w:w="1276" w:type="dxa"/>
            <w:vAlign w:val="center"/>
          </w:tcPr>
          <w:p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Wysokość zaliczki (zł)</w:t>
            </w:r>
          </w:p>
        </w:tc>
        <w:tc>
          <w:tcPr>
            <w:tcW w:w="6804" w:type="dxa"/>
            <w:vAlign w:val="center"/>
          </w:tcPr>
          <w:p w:rsidR="00C06E75" w:rsidRPr="00751CD1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51CD1">
              <w:rPr>
                <w:rFonts w:ascii="Garamond" w:hAnsi="Garamond"/>
                <w:b/>
                <w:sz w:val="20"/>
                <w:szCs w:val="20"/>
              </w:rPr>
              <w:t>Opis nieruchomości</w:t>
            </w:r>
          </w:p>
        </w:tc>
      </w:tr>
      <w:tr w:rsidR="00C06E75" w:rsidTr="00656CF9">
        <w:tc>
          <w:tcPr>
            <w:tcW w:w="959" w:type="dxa"/>
            <w:vAlign w:val="center"/>
          </w:tcPr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124/4</w:t>
            </w:r>
          </w:p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124/5</w:t>
            </w:r>
          </w:p>
        </w:tc>
        <w:tc>
          <w:tcPr>
            <w:tcW w:w="1469" w:type="dxa"/>
            <w:vAlign w:val="center"/>
          </w:tcPr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57076 </w:t>
            </w:r>
            <w:r w:rsidRPr="00CC21E5">
              <w:rPr>
                <w:rFonts w:ascii="Garamond" w:hAnsi="Garamond"/>
                <w:sz w:val="20"/>
                <w:szCs w:val="20"/>
              </w:rPr>
              <w:t>m</w:t>
            </w:r>
            <w:r w:rsidRPr="00CC21E5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8" w:type="dxa"/>
            <w:vAlign w:val="center"/>
          </w:tcPr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Śląska,</w:t>
            </w:r>
          </w:p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obręb 9</w:t>
            </w:r>
          </w:p>
        </w:tc>
        <w:tc>
          <w:tcPr>
            <w:tcW w:w="2126" w:type="dxa"/>
            <w:vAlign w:val="center"/>
          </w:tcPr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800.000,00</w:t>
            </w:r>
          </w:p>
        </w:tc>
        <w:tc>
          <w:tcPr>
            <w:tcW w:w="1276" w:type="dxa"/>
            <w:vAlign w:val="center"/>
          </w:tcPr>
          <w:p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80.000,00</w:t>
            </w:r>
          </w:p>
        </w:tc>
        <w:tc>
          <w:tcPr>
            <w:tcW w:w="6804" w:type="dxa"/>
          </w:tcPr>
          <w:p w:rsidR="00C06E75" w:rsidRPr="004D3766" w:rsidRDefault="00C06E75" w:rsidP="00656CF9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niezabudowana, położona w południowej części miasta, w odległości ok. 2,5 km od centrum miasta i ok. 1,0 km od drogi krajowej nr 32 łączącej Zieloną Górę z granicą państwa. W południowo-wschodnim narożniku działki nr 124/5 przebiega korytarz infrastruktury elektroenergetycznej, w granicach działki słup energetyczny. Teren płaski, kształt zbliżony do prostokąta, korzystny do zabudowy.</w:t>
            </w:r>
          </w:p>
        </w:tc>
      </w:tr>
    </w:tbl>
    <w:p w:rsidR="00C06E75" w:rsidRDefault="00C06E75" w:rsidP="00C06E75">
      <w:pPr>
        <w:spacing w:after="0"/>
        <w:jc w:val="both"/>
        <w:rPr>
          <w:rFonts w:ascii="Garamond" w:hAnsi="Garamond"/>
          <w:sz w:val="24"/>
          <w:szCs w:val="24"/>
        </w:rPr>
      </w:pPr>
    </w:p>
    <w:p w:rsidR="00C06E75" w:rsidRPr="00751CD1" w:rsidRDefault="00C06E75" w:rsidP="00C06E75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51CD1">
        <w:rPr>
          <w:rFonts w:ascii="Garamond" w:hAnsi="Garamond"/>
          <w:b/>
          <w:sz w:val="20"/>
          <w:szCs w:val="20"/>
        </w:rPr>
        <w:t>Nieruchomość stanowi własność Gminy Gubin o statusie miejskim.</w:t>
      </w:r>
    </w:p>
    <w:p w:rsidR="00C06E75" w:rsidRPr="00751CD1" w:rsidRDefault="00C06E75" w:rsidP="00C06E75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51CD1">
        <w:rPr>
          <w:rFonts w:ascii="Garamond" w:hAnsi="Garamond"/>
          <w:b/>
          <w:sz w:val="20"/>
          <w:szCs w:val="20"/>
        </w:rPr>
        <w:t>Cena wywoławcza stanowi cenę minimalną poniżej której nieruchomość nie zostanie sprzedana.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Do zaoferowanej przez uczestnika rokowań ceny nieruchomości netto doliczony zostanie podatek VAT według stawki obowiązującej na dzień sprzedaży. 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Ustalona w drodze rokowań cena sprzedaży nieruchomości wraz z podatkiem VAT płatna jest w gotówce w całości przed zawarciem umowy notarialnej. Dopuszcza się możliwość rozłożenia na raty ceny sprzedaży w/w nieruchomości, na czas nie dłuższy niż 4 lata. Wówczas pierwsza rata w wysokości nie mniej niż 25% oraz podatek VAT podlegają zapłacie nie później niż do dnia zawarcia umowy notarialnej. Z tego tytułu wierzytelność Gminy w stosunku do nabywcy podlega zabezpieczeniu, w szczególności przez ustanowienie hipoteki. Pozostałe raty wraz z oprocentowaniem podlegają zapłacie w terminach ustalonych przez strony w umowie. Rozłożona na raty niespłacona część ceny podlega oprocentowaniu przy zastosowaniu stopy procentowej równej stopie redyskonta stosowanej przez Narodowy Bank Polski.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1A38FD">
        <w:rPr>
          <w:rFonts w:ascii="Garamond" w:hAnsi="Garamond"/>
          <w:b/>
          <w:sz w:val="20"/>
          <w:szCs w:val="20"/>
        </w:rPr>
        <w:t>Dla nieruchomości Sąd Rejonowy w Krośnie Odrzańskim VI Zamiejscowy Wydział Ksiąg Wieczystych w Gubinie prowadzi księgę wieczystą nr ZG2K/00011092/0</w:t>
      </w:r>
      <w:r w:rsidRPr="008A4D59">
        <w:rPr>
          <w:rFonts w:ascii="Garamond" w:hAnsi="Garamond"/>
          <w:sz w:val="20"/>
          <w:szCs w:val="20"/>
        </w:rPr>
        <w:t>. Nieruchomość znajduje się na terenie, dla którego obowiązuje zmiana miejscowego ogólnego planu zagospodarowania przestrzennego miasta Gubina dla terenu położonego pomiędzy ulicą Śląską i ulicą Legnicką, uchwalona uchwałą nr XLIII/356/2002 Rady Miejskiej w Gubinie z dnia 21 lutego 2002 roku. Zgodnie z ustaleniami w/w planu nieruchomość znajduje się w jednostce oznaczonej symbolem „P,KS,IT”, jako teren lokalizacji obiektów o funkcji produkcyjno-usługowej, gdzie powierzchnia sprzedażowa obiektów handlowych nie może przekroczyć 1000 m</w:t>
      </w:r>
      <w:r w:rsidRPr="008A4D59">
        <w:rPr>
          <w:rFonts w:ascii="Garamond" w:hAnsi="Garamond"/>
          <w:sz w:val="20"/>
          <w:szCs w:val="20"/>
          <w:vertAlign w:val="superscript"/>
        </w:rPr>
        <w:t>2</w:t>
      </w:r>
      <w:r w:rsidRPr="008A4D59">
        <w:rPr>
          <w:rFonts w:ascii="Garamond" w:hAnsi="Garamond"/>
          <w:sz w:val="20"/>
          <w:szCs w:val="20"/>
        </w:rPr>
        <w:t>, teren lokalizacji obiektów i urządzeń obsługi komunikacji samochodowej oraz obiektów infrastruktury technicznej.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Nieruchomość jest wolna od obciążeń i zobowiązań. Położona jest w Kostrzyńsko-Słubickiej Specjalnej Strefie Ekonomicznej jako Kompleks nr 4, zgodnie z rozporządzeniem </w:t>
      </w:r>
      <w:r w:rsidR="003924B7">
        <w:rPr>
          <w:rFonts w:ascii="Garamond" w:hAnsi="Garamond"/>
          <w:sz w:val="20"/>
          <w:szCs w:val="20"/>
        </w:rPr>
        <w:br/>
      </w:r>
      <w:r w:rsidRPr="008A4D59">
        <w:rPr>
          <w:rFonts w:ascii="Garamond" w:hAnsi="Garamond"/>
          <w:sz w:val="20"/>
          <w:szCs w:val="20"/>
        </w:rPr>
        <w:t>Rady Ministrów z dnia 13 stycznia 2017 roku.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Pierwszy przetarg na sprzedaż nieruchomości odbył się 21 czerwca 2018 roku, drugi przetarg na sprzedaż nieruchomości odbył się 18 października 2018 roku.</w:t>
      </w:r>
    </w:p>
    <w:p w:rsidR="00C06E75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Zbycie przedmiotowej nieruchomości odbędzie się w stanie istniejącego zainwestowania i istniejącej infrastruktury, w związku z czym nabywający przejmie nieruchomość w stanie faktycznym i prawnym. Przystępujący do rokowań zobowiązany jest do zapoznania się ze stanem faktycznym nieruchomości poprzez dokonanie oględzin terenu oraz do zapoznania się z dokumentacją formalno-prawną, w tym z ustaleniami obowiązującej zmiany miejscowego ogólnego planu zagospodarowania przestrzennego, uchwalonego uchwałą </w:t>
      </w:r>
    </w:p>
    <w:p w:rsidR="00C06E75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nr XLIII/356/2002 Rady Miejskiej w Gubinie z dnia 21 lutego 2002 roku i sprawdzenia czy przedmiotowa nieruchomość odpowiada jego planowanym zamierzeniom inwestycyjnym.</w:t>
      </w:r>
    </w:p>
    <w:p w:rsidR="00C06E75" w:rsidRPr="008A4D59" w:rsidRDefault="00C06E75" w:rsidP="00C06E75">
      <w:pPr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W przypadku wystąpienia konieczności usunięcia drzew i krzewów rosnących na w/w działkach, ewentualnego przełożenia istniejącej infrastruktury technicznej, nabywca, </w:t>
      </w:r>
      <w:r w:rsidR="003924B7">
        <w:rPr>
          <w:rFonts w:ascii="Garamond" w:hAnsi="Garamond"/>
          <w:sz w:val="20"/>
          <w:szCs w:val="20"/>
        </w:rPr>
        <w:br/>
      </w:r>
      <w:r w:rsidRPr="008A4D59">
        <w:rPr>
          <w:rFonts w:ascii="Garamond" w:hAnsi="Garamond"/>
          <w:sz w:val="20"/>
          <w:szCs w:val="20"/>
        </w:rPr>
        <w:t xml:space="preserve">w uzgodnieniu z właścicielem sieci technicznej, wykona wymienione prace we własnym zakresie i na własny koszt. Nabywca zobowiązany jest na własny koszt uporządkować teren </w:t>
      </w:r>
      <w:r w:rsidR="003924B7">
        <w:rPr>
          <w:rFonts w:ascii="Garamond" w:hAnsi="Garamond"/>
          <w:sz w:val="20"/>
          <w:szCs w:val="20"/>
        </w:rPr>
        <w:br/>
      </w:r>
      <w:r w:rsidRPr="008A4D59">
        <w:rPr>
          <w:rFonts w:ascii="Garamond" w:hAnsi="Garamond"/>
          <w:sz w:val="20"/>
          <w:szCs w:val="20"/>
        </w:rPr>
        <w:t>i przygotować go do zabudowy. Przyłącza do istniejących sieci nabywca nieruchomości dokona własnym staraniem i na własny koszt., po uzgodnieniu z właścicielami sieci. Na nabywcy nieruchomości ciąży obowiązek wykonania własnym staraniem i na własny koszt wjazdu na nieruchomość, za zgodą zarządcy drogi.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3924B7" w:rsidRDefault="003924B7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3924B7" w:rsidRDefault="003924B7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Nabywca, przed uzyskaniem pozwolenia na budowę, zobowiązany będzie do wystąpienia do właściwego organu, we własnym zakresie, z wnioskiem o wydanie decyzji zezwalającej na wyłączenie gruntów z produkcji rolnej. Opłaty związane z wyłączeniem gruntu z produkcji rolnej ponosi nabywca (ustawa z dnia 3 lutego 1995 r. o ochronie gruntów rolnych </w:t>
      </w:r>
      <w:r w:rsidR="003924B7">
        <w:rPr>
          <w:rFonts w:ascii="Garamond" w:hAnsi="Garamond"/>
          <w:sz w:val="20"/>
          <w:szCs w:val="20"/>
        </w:rPr>
        <w:br/>
      </w:r>
      <w:r w:rsidRPr="008A4D59">
        <w:rPr>
          <w:rFonts w:ascii="Garamond" w:hAnsi="Garamond"/>
          <w:sz w:val="20"/>
          <w:szCs w:val="20"/>
        </w:rPr>
        <w:t>i leśnych).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Nabywca nieruchomości przejmuje wraz z gruntem obowiązek usunięcia z terenu wszystkich bezumownych użytkowników.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Nabywca, na własny koszt, zleci uprawnionym podmiotom odtworzenie granic nieruchomości.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  <w:u w:val="single"/>
        </w:rPr>
      </w:pPr>
      <w:r w:rsidRPr="008A4D59">
        <w:rPr>
          <w:rFonts w:ascii="Garamond" w:hAnsi="Garamond"/>
          <w:sz w:val="20"/>
          <w:szCs w:val="20"/>
          <w:u w:val="single"/>
        </w:rPr>
        <w:t>Gmina wykona sieć wodociągową i kanalizacyjną na brakującym odcinku, celem umożliwienia nabywcy wykonania przyłącza wodociągowego i kanalizacyjnego. Ponadto, Gmina wykona przebudowę drogi gruntowej poprzez jej utwardzenie na odcinku od zjazdu z drogi asfaltowej do wjazdu na przedmiotową nieruchomość.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  <w:u w:val="single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Przetarg przeprowadzi komisja w składzie wyznaczonym w § 1 zarządzenia nr I/2010 Burmistrza Miasta Gubina z dnia 5 stycznia 2010 roku.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b/>
          <w:sz w:val="20"/>
          <w:szCs w:val="20"/>
        </w:rPr>
        <w:t>Zaliczkę</w:t>
      </w:r>
      <w:r w:rsidRPr="008A4D59">
        <w:rPr>
          <w:rFonts w:ascii="Garamond" w:hAnsi="Garamond"/>
          <w:sz w:val="20"/>
          <w:szCs w:val="20"/>
        </w:rPr>
        <w:t xml:space="preserve"> w wysokości 10% ceny wywoławczej netto, pobieraną tytułem zabezpieczenia kosztów w przypadku uchylenia się od zawarcia umowy, należy wnieść w pieniądzu, najpóźniej </w:t>
      </w:r>
      <w:r w:rsidRPr="001A38FD">
        <w:rPr>
          <w:rFonts w:ascii="Garamond" w:hAnsi="Garamond"/>
          <w:b/>
          <w:sz w:val="20"/>
          <w:szCs w:val="20"/>
          <w:u w:val="single"/>
        </w:rPr>
        <w:t>do dnia 25 stycznia 2019 roku</w:t>
      </w:r>
      <w:r w:rsidRPr="008A4D59">
        <w:rPr>
          <w:rFonts w:ascii="Garamond" w:hAnsi="Garamond"/>
          <w:sz w:val="20"/>
          <w:szCs w:val="20"/>
        </w:rPr>
        <w:t xml:space="preserve">, przelewem na konto </w:t>
      </w:r>
      <w:r w:rsidRPr="003924B7">
        <w:rPr>
          <w:rFonts w:ascii="Garamond" w:hAnsi="Garamond"/>
          <w:b/>
          <w:sz w:val="20"/>
          <w:szCs w:val="20"/>
        </w:rPr>
        <w:t>PKO BP S.A. o/Zielona Góra nr 13</w:t>
      </w:r>
      <w:r w:rsidR="003924B7" w:rsidRPr="003924B7">
        <w:rPr>
          <w:rFonts w:ascii="Garamond" w:hAnsi="Garamond"/>
          <w:b/>
          <w:sz w:val="20"/>
          <w:szCs w:val="20"/>
        </w:rPr>
        <w:t xml:space="preserve"> 1020 5402 0000 0502 0027 8747</w:t>
      </w:r>
      <w:r w:rsidR="003924B7">
        <w:rPr>
          <w:rFonts w:ascii="Garamond" w:hAnsi="Garamond"/>
          <w:sz w:val="20"/>
          <w:szCs w:val="20"/>
        </w:rPr>
        <w:t xml:space="preserve"> </w:t>
      </w:r>
      <w:r w:rsidRPr="008A4D59">
        <w:rPr>
          <w:rFonts w:ascii="Garamond" w:hAnsi="Garamond"/>
          <w:sz w:val="20"/>
          <w:szCs w:val="20"/>
        </w:rPr>
        <w:t>(w tytule wpłaty wskazać</w:t>
      </w:r>
      <w:r w:rsidR="003924B7">
        <w:rPr>
          <w:rFonts w:ascii="Garamond" w:hAnsi="Garamond"/>
          <w:sz w:val="20"/>
          <w:szCs w:val="20"/>
        </w:rPr>
        <w:t xml:space="preserve"> nieruchomość, której dotyczy). </w:t>
      </w:r>
      <w:r w:rsidRPr="008A4D59">
        <w:rPr>
          <w:rFonts w:ascii="Garamond" w:hAnsi="Garamond"/>
          <w:sz w:val="20"/>
          <w:szCs w:val="20"/>
        </w:rPr>
        <w:t>Za datę wniesienia zaliczki uważa się datę wpływu środków pieniężnych na rachun</w:t>
      </w:r>
      <w:r w:rsidR="003924B7">
        <w:rPr>
          <w:rFonts w:ascii="Garamond" w:hAnsi="Garamond"/>
          <w:sz w:val="20"/>
          <w:szCs w:val="20"/>
        </w:rPr>
        <w:t xml:space="preserve">ek Urzędu Miejskiego w Gubinie. </w:t>
      </w:r>
      <w:r w:rsidRPr="008A4D59">
        <w:rPr>
          <w:rFonts w:ascii="Garamond" w:hAnsi="Garamond"/>
          <w:sz w:val="20"/>
          <w:szCs w:val="20"/>
        </w:rPr>
        <w:t>W przypadku regulowania zaliczki za pośrednictwem poczty lub banków wpłaty należy dokonać z takim wyprzedzeniem, aby zaliczka wpłynęła na konto sprzedającego w określonym w ogłoszeniu terminie. Za uczestnika rokowań uznaje się osobę dokonującą wpłatę zaliczki, tj. właściciela konta bankowego bądź pełnomocnika tego konta, z którego dokonano wpłaty zaliczki lub osobę wskazaną jako wpłacający w tytule wpłaty zaliczki.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Zaliczka osoby wygrywającej rokowania zostaje zaliczona na poczet ceny nabycia. Pozostałym osobom zaliczka zostanie wypłacona, na wniosek, w ciągu 3 dni po zakończeniu rokowań. Zbywający, najpóźniej w ciągu 21 dni od dnia zamknięcia rokowań zawiadomi nabywcę o miejscu i terminie zawarcia umowy sprzedaży. Koszty przygotowania dokumentacji, sporządzenia umowy notarialnej i opłaty sądowe w całości ponosi nabywca.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Osoby zamierzające uczestniczyć w rokowaniach w nieprzekraczalnym terminie, tj. </w:t>
      </w:r>
      <w:r w:rsidRPr="008A4D59">
        <w:rPr>
          <w:rFonts w:ascii="Garamond" w:hAnsi="Garamond"/>
          <w:b/>
          <w:sz w:val="20"/>
          <w:szCs w:val="20"/>
        </w:rPr>
        <w:t>do dnia 25 stycznia</w:t>
      </w:r>
      <w:r w:rsidRPr="008A4D59">
        <w:rPr>
          <w:rFonts w:ascii="Garamond" w:hAnsi="Garamond"/>
          <w:sz w:val="20"/>
          <w:szCs w:val="20"/>
        </w:rPr>
        <w:t xml:space="preserve"> </w:t>
      </w:r>
      <w:r w:rsidRPr="008A4D59">
        <w:rPr>
          <w:rFonts w:ascii="Garamond" w:hAnsi="Garamond"/>
          <w:b/>
          <w:sz w:val="20"/>
          <w:szCs w:val="20"/>
        </w:rPr>
        <w:t>2019 roku do godziny 15</w:t>
      </w:r>
      <w:r w:rsidRPr="008A4D59">
        <w:rPr>
          <w:rFonts w:ascii="Garamond" w:hAnsi="Garamond"/>
          <w:b/>
          <w:sz w:val="20"/>
          <w:szCs w:val="20"/>
          <w:vertAlign w:val="superscript"/>
        </w:rPr>
        <w:t>00</w:t>
      </w:r>
      <w:r w:rsidRPr="008A4D59">
        <w:rPr>
          <w:rFonts w:ascii="Garamond" w:hAnsi="Garamond"/>
          <w:sz w:val="20"/>
          <w:szCs w:val="20"/>
        </w:rPr>
        <w:t xml:space="preserve">, w sekretariacie Urzędu miejskiego w Gubinie ul. Piastowska 24 (parter, pokój nr 109) muszą złożyć pisemne zgłoszenie udziału w rokowaniach, w zamkniętej kopercie z napisem: </w:t>
      </w:r>
      <w:r w:rsidRPr="008A4D59">
        <w:rPr>
          <w:rFonts w:ascii="Garamond" w:hAnsi="Garamond"/>
          <w:b/>
          <w:sz w:val="20"/>
          <w:szCs w:val="20"/>
        </w:rPr>
        <w:t>„Rokowania na zbycie nieruchomości przy ul. „Śląskiej”.</w:t>
      </w:r>
      <w:r w:rsidRPr="008A4D59">
        <w:rPr>
          <w:rFonts w:ascii="Garamond" w:hAnsi="Garamond"/>
          <w:sz w:val="20"/>
          <w:szCs w:val="20"/>
        </w:rPr>
        <w:t xml:space="preserve"> Zgłoszenie powinno zawierać: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imię, nazwisko i adres albo nazwę lub firmę oraz siedzibę, jeżeli zgłaszającym jest osoba prawna lub inny podmiot,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datę sporządzenia zgłoszenia,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oświadczenie, że zgłaszający zapoznał się ze stanem prawnym i faktycznym nieruchomości oraz z warunkami rokowań i przyjmuje te warunki bez zastrzeżeń,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proponowaną cenę ( nie niższą niż cena wywoławcza) i sposób jej zapłaty,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dołączoną kopię dowodu wpłaty zaliczki.</w:t>
      </w:r>
    </w:p>
    <w:p w:rsidR="00C06E75" w:rsidRDefault="00C06E75" w:rsidP="00C06E75">
      <w:pPr>
        <w:tabs>
          <w:tab w:val="left" w:pos="2127"/>
        </w:tabs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Rokowania przeprowadzone zostaną w dniu </w:t>
      </w:r>
      <w:r w:rsidRPr="008A4D59">
        <w:rPr>
          <w:rFonts w:ascii="Garamond" w:hAnsi="Garamond"/>
          <w:b/>
          <w:sz w:val="20"/>
          <w:szCs w:val="20"/>
        </w:rPr>
        <w:t>31 stycznia 2019 roku o godzinie 10</w:t>
      </w:r>
      <w:r w:rsidRPr="008A4D59">
        <w:rPr>
          <w:rFonts w:ascii="Garamond" w:hAnsi="Garamond"/>
          <w:b/>
          <w:sz w:val="20"/>
          <w:szCs w:val="20"/>
          <w:vertAlign w:val="superscript"/>
        </w:rPr>
        <w:t>00</w:t>
      </w:r>
      <w:r w:rsidRPr="008A4D59">
        <w:rPr>
          <w:rFonts w:ascii="Garamond" w:hAnsi="Garamond"/>
          <w:sz w:val="20"/>
          <w:szCs w:val="20"/>
        </w:rPr>
        <w:t xml:space="preserve"> w sali narad Urzędu Miejskiego w Gubinie ul. Piastowska 24.</w:t>
      </w:r>
    </w:p>
    <w:p w:rsidR="00C06E75" w:rsidRPr="008A4D59" w:rsidRDefault="00C06E75" w:rsidP="00C06E75">
      <w:pPr>
        <w:tabs>
          <w:tab w:val="left" w:pos="2127"/>
        </w:tabs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Po zakwalifikowaniu zgłoszeń do ustnej części rokowań, komisja przeprowadzi ustną część rokowań.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1A38FD" w:rsidRDefault="00C06E75" w:rsidP="00C06E75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1A38FD">
        <w:rPr>
          <w:rFonts w:ascii="Garamond" w:hAnsi="Garamond"/>
          <w:b/>
          <w:sz w:val="20"/>
          <w:szCs w:val="20"/>
        </w:rPr>
        <w:t>W rokowaniach mogą wziąć udział osoby fizyczne i prawne, które złożą pisemne zgłoszenia udziału w rokowaniach a ponadto wpłacą zaliczkę w wyznaczonym terminie oraz przedłożą komisji w dniu rokowań, w chwili rozpoczęcia części jawnej, następujące dokumenty: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- w </w:t>
      </w:r>
      <w:r>
        <w:rPr>
          <w:rFonts w:ascii="Garamond" w:hAnsi="Garamond"/>
          <w:sz w:val="20"/>
          <w:szCs w:val="20"/>
        </w:rPr>
        <w:t>przypadku osób fizycznych, dokument</w:t>
      </w:r>
      <w:r w:rsidRPr="008A4D59">
        <w:rPr>
          <w:rFonts w:ascii="Garamond" w:hAnsi="Garamond"/>
          <w:sz w:val="20"/>
          <w:szCs w:val="20"/>
        </w:rPr>
        <w:t xml:space="preserve"> potwierdzający tożsamość uczestnika rokowań (dowód osobisty, paszport lub prawo jazdy), a pozostającej w związku małżeńskim nie posiadającej rozdzielności majątkowej, konieczna jest obecność obojga małżonków lub jednego z nich z pełnomocnictwem drugiego małżonka poświadczonego podpisem, zawierającym zgodę na nabycie nieruchomości,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pełnomocnika osoby fizycznej: dokument tożsamości pełnomocnika (dowód osobisty, paszport lub prawo jazdy) oraz pełnomocnictwo notarialne lub z notarialnie poświadczonym podpisem mocodawcy,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osoby fizycznej prowadzącej działalność gos</w:t>
      </w:r>
      <w:r>
        <w:rPr>
          <w:rFonts w:ascii="Garamond" w:hAnsi="Garamond"/>
          <w:sz w:val="20"/>
          <w:szCs w:val="20"/>
        </w:rPr>
        <w:t>podarczą: dokument</w:t>
      </w:r>
      <w:r w:rsidRPr="008A4D59">
        <w:rPr>
          <w:rFonts w:ascii="Garamond" w:hAnsi="Garamond"/>
          <w:sz w:val="20"/>
          <w:szCs w:val="20"/>
        </w:rPr>
        <w:t xml:space="preserve"> potwierdzający tożsamość,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przedstawiciela/przedstawicieli osoby prawnej lub innej jednostki podlegającej obowiązkowi wpisu do KRS: dokument potwierdzający tożsamość (dowód osobisty, paszport lub prawo jazdy) oraz aktualny (nie dłużej niż sprzed 3 miesięcy) odpis z rejestru sądowego lub wydruk z Krajowego Rejestru Sądowego,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pełnomocnika osoby prawnej lub innej jednostki podlegającej obowiązkowi wpisy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Sądowego,</w:t>
      </w:r>
    </w:p>
    <w:p w:rsidR="003924B7" w:rsidRDefault="003924B7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3924B7" w:rsidRDefault="003924B7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A4D59">
        <w:rPr>
          <w:rFonts w:ascii="Garamond" w:hAnsi="Garamond"/>
          <w:sz w:val="20"/>
          <w:szCs w:val="20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 prawo jazdy); w przypadku pełnomocnika takiej osoby lub jednostki, również pełnomocnictwo notarialne lub z notarialnie poświadczonym podpisem (zapis dotyczący np. wspólnot mieszkaniowych, gminy, pełnomocników tych jednostek/osób),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z cudzoziemcem w przetargu winien uczestniczyć tłumacz przysięgły. Podmioty zagraniczne wiążą przepisy ustawy z dnia 24 marca 1920 roku o nabywaniu nieruchomości przez cudzoziemców.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Niedotrzymanie terminu zawarcia umowy notarialnej bez usprawiedliwienia przez uczestnika, który rokowania wygra, powoduje przepadek zaliczki a rokowania czyni niebyłymi.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na koszt kupującego. Gmina nie dysponuje danymi co do warunków gruntowo-wodnych, występowania zanieczyszczeń gruntu oraz przykrytych warstwą gleby elementów będących pozostałością po konstrukcjach budowlanych w obrębie zbywanej nieruchomości.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Osoby zamierzające wziąć udział w rokowaniach mogą, za zgodą Gminy, wykonać stosowne badania własnym staraniem i na własny koszt. Nabywca przyjmuje nieruchomość w stanie istniejącym.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Zbycie nieruchomości następuje na podstawie przepisów ustawy z dnia 21 sierpnia 1997 roku o gospodarce nieruchomościami (t. j. Dz. U. z 2018 r., poz. 121 ze zm.). Rokowania zostaną przeprowadzone zgodnie z rozporządzeniem Rady Ministrów z dnia 14 września 2004 r. w sprawie sposobu i trybu przeprowadzania przetargów oraz rokowań na zbycie nieruchomości (t. j. Dz. U. z 2014 r., poz. 1490).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Ogłaszający ma prawo do odwołania ogłoszonych rokowań w formie właściwej dla jego ogłoszenia.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Ogłaszający zastrzega sobie prawo zamknięcia rokowań bez wybrania nabywcy nieruchomości.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Ogłoszenie podaje się do publicznej wiadomości na okres dwóch miesięcy, począwszy </w:t>
      </w:r>
      <w:r w:rsidRPr="001A38FD">
        <w:rPr>
          <w:rFonts w:ascii="Garamond" w:hAnsi="Garamond"/>
          <w:sz w:val="20"/>
          <w:szCs w:val="20"/>
          <w:u w:val="single"/>
        </w:rPr>
        <w:t>od dnia 22 listopada 2018 roku.</w:t>
      </w:r>
    </w:p>
    <w:p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Szczegółowych informacji odnośnie zbywanej nieruchomości można uzyskać w Wydziale Nieruchomości i Gospodarki Przestrzennej Urzędu Miejskiego w Gubinie, ul. Piastowska 24, tel. 68/455 81 33, w godzinach pracy urzędu.</w:t>
      </w:r>
    </w:p>
    <w:p w:rsidR="00C06E75" w:rsidRPr="008A4D59" w:rsidRDefault="00C06E75" w:rsidP="00C06E7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Ogłoszenie o rokowaniach zostało wywieszone na tablicy ogłoszeń w siedzibie Urzędu Miejskiego w Gubinie, opublikowane na stronie internetowej Urzędu Miejskiego w Gubinie </w:t>
      </w:r>
      <w:hyperlink r:id="rId6" w:history="1">
        <w:r w:rsidRPr="008A4D59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Pr="008A4D59">
        <w:rPr>
          <w:rFonts w:ascii="Garamond" w:hAnsi="Garamond"/>
          <w:sz w:val="20"/>
          <w:szCs w:val="20"/>
        </w:rPr>
        <w:t xml:space="preserve"> oraz w prasie lokalnej.</w:t>
      </w:r>
    </w:p>
    <w:p w:rsidR="00C06E75" w:rsidRDefault="00C06E7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sectPr w:rsidR="00C06E75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B7"/>
    <w:rsid w:val="003924D0"/>
    <w:rsid w:val="003A0FD2"/>
    <w:rsid w:val="003A5B89"/>
    <w:rsid w:val="003E498E"/>
    <w:rsid w:val="00401C1D"/>
    <w:rsid w:val="00410C8C"/>
    <w:rsid w:val="004A25C5"/>
    <w:rsid w:val="004B1838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C55FD"/>
    <w:rsid w:val="005F0BD6"/>
    <w:rsid w:val="00633956"/>
    <w:rsid w:val="006A34DA"/>
    <w:rsid w:val="006C2BE1"/>
    <w:rsid w:val="006D237A"/>
    <w:rsid w:val="006E0DE4"/>
    <w:rsid w:val="007076DF"/>
    <w:rsid w:val="00750202"/>
    <w:rsid w:val="00757F32"/>
    <w:rsid w:val="007A6632"/>
    <w:rsid w:val="00823C2A"/>
    <w:rsid w:val="0083496C"/>
    <w:rsid w:val="00850844"/>
    <w:rsid w:val="00853773"/>
    <w:rsid w:val="00853DF3"/>
    <w:rsid w:val="00870EC2"/>
    <w:rsid w:val="00877221"/>
    <w:rsid w:val="008E5DC3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67CC"/>
    <w:rsid w:val="00B17958"/>
    <w:rsid w:val="00B851D5"/>
    <w:rsid w:val="00B91272"/>
    <w:rsid w:val="00BC6CD7"/>
    <w:rsid w:val="00BE0D17"/>
    <w:rsid w:val="00C06E75"/>
    <w:rsid w:val="00C15087"/>
    <w:rsid w:val="00C3764D"/>
    <w:rsid w:val="00C66500"/>
    <w:rsid w:val="00C67464"/>
    <w:rsid w:val="00C90920"/>
    <w:rsid w:val="00C92F2E"/>
    <w:rsid w:val="00CB181D"/>
    <w:rsid w:val="00CC1666"/>
    <w:rsid w:val="00CE2AC1"/>
    <w:rsid w:val="00CE6378"/>
    <w:rsid w:val="00D00591"/>
    <w:rsid w:val="00D54CB3"/>
    <w:rsid w:val="00D567AA"/>
    <w:rsid w:val="00D644DC"/>
    <w:rsid w:val="00DB05F6"/>
    <w:rsid w:val="00DF7D12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C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B21C-655F-469F-B1FD-A03675B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1853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2018-11-06T10:38:00Z</cp:lastPrinted>
  <dcterms:created xsi:type="dcterms:W3CDTF">2018-11-15T09:57:00Z</dcterms:created>
  <dcterms:modified xsi:type="dcterms:W3CDTF">2018-11-15T10:00:00Z</dcterms:modified>
</cp:coreProperties>
</file>