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1F74" wp14:editId="5C53723E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20375" wp14:editId="484B8B40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1F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020375" wp14:editId="484B8B40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 w:rsidR="0012588F"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65474A" w:rsidTr="00D03D9F">
        <w:trPr>
          <w:jc w:val="center"/>
        </w:trPr>
        <w:tc>
          <w:tcPr>
            <w:tcW w:w="567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:rsidTr="00D03D9F">
        <w:trPr>
          <w:jc w:val="center"/>
        </w:trPr>
        <w:tc>
          <w:tcPr>
            <w:tcW w:w="567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C95659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294/2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C95659">
              <w:rPr>
                <w:rFonts w:ascii="Garamond" w:hAnsi="Garamond"/>
                <w:b w:val="0"/>
                <w:sz w:val="20"/>
                <w:szCs w:val="20"/>
              </w:rPr>
              <w:t>460</w:t>
            </w:r>
          </w:p>
          <w:p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5474A" w:rsidRPr="00972DCE" w:rsidRDefault="0065474A" w:rsidP="00140088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65474A" w:rsidRPr="00C95659" w:rsidRDefault="00C95659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65474A" w:rsidRPr="00C95659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C95659">
              <w:rPr>
                <w:rFonts w:ascii="Garamond" w:hAnsi="Garamond"/>
                <w:b w:val="0"/>
                <w:sz w:val="20"/>
                <w:szCs w:val="20"/>
              </w:rPr>
              <w:t>Poleska</w:t>
            </w:r>
          </w:p>
          <w:p w:rsidR="0065474A" w:rsidRPr="00972DCE" w:rsidRDefault="00140088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C95659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29.400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C95659">
              <w:rPr>
                <w:rFonts w:ascii="Garamond" w:hAnsi="Garamond"/>
                <w:b w:val="0"/>
                <w:sz w:val="20"/>
                <w:szCs w:val="20"/>
              </w:rPr>
              <w:t>2.940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65474A" w:rsidRDefault="0065474A" w:rsidP="00D8627E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wykorzystywany jest przez właści</w:t>
            </w:r>
            <w:r w:rsidR="0012588F">
              <w:rPr>
                <w:rFonts w:ascii="Garamond" w:hAnsi="Garamond"/>
                <w:b w:val="0"/>
                <w:sz w:val="16"/>
                <w:szCs w:val="16"/>
              </w:rPr>
              <w:t>cieli nieruchomości sąsiedniej (zlokalizowany został garaż konstrukcji stalowej).</w:t>
            </w:r>
          </w:p>
        </w:tc>
      </w:tr>
    </w:tbl>
    <w:p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43454D">
        <w:rPr>
          <w:rFonts w:ascii="Garamond" w:hAnsi="Garamond"/>
          <w:sz w:val="16"/>
          <w:szCs w:val="16"/>
        </w:rPr>
        <w:t>7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12588F">
        <w:rPr>
          <w:rFonts w:ascii="Garamond" w:hAnsi="Garamond"/>
          <w:sz w:val="16"/>
          <w:szCs w:val="16"/>
        </w:rPr>
        <w:t>295, 294/1, 294/6 i 301</w:t>
      </w:r>
      <w:r w:rsidRPr="001F2413">
        <w:rPr>
          <w:rFonts w:ascii="Garamond" w:hAnsi="Garamond"/>
          <w:sz w:val="16"/>
          <w:szCs w:val="16"/>
        </w:rPr>
        <w:t>.</w:t>
      </w:r>
    </w:p>
    <w:p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A538E8">
        <w:rPr>
          <w:rFonts w:ascii="Garamond" w:hAnsi="Garamond"/>
          <w:bCs w:val="0"/>
          <w:sz w:val="16"/>
          <w:szCs w:val="16"/>
          <w:u w:val="single"/>
        </w:rPr>
        <w:t>24. 09. 2020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A538E8">
        <w:rPr>
          <w:rFonts w:ascii="Garamond" w:hAnsi="Garamond"/>
          <w:sz w:val="16"/>
          <w:szCs w:val="16"/>
          <w:u w:val="single"/>
        </w:rPr>
        <w:t>2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A538E8">
        <w:rPr>
          <w:rFonts w:ascii="Garamond" w:hAnsi="Garamond"/>
          <w:sz w:val="16"/>
          <w:szCs w:val="16"/>
        </w:rPr>
        <w:t>21 września 2020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A538E8">
        <w:rPr>
          <w:rFonts w:ascii="Garamond" w:hAnsi="Garamond"/>
          <w:bCs w:val="0"/>
          <w:sz w:val="16"/>
          <w:szCs w:val="16"/>
          <w:u w:val="single"/>
        </w:rPr>
        <w:t>21 września 2020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:rsidR="00EA4EFB" w:rsidRPr="001F2413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A0AEB" w:rsidRPr="001F2413" w:rsidRDefault="00EC226C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</w:t>
      </w:r>
      <w:bookmarkStart w:id="0" w:name="_GoBack"/>
      <w:r w:rsidRPr="001F2413">
        <w:rPr>
          <w:rFonts w:ascii="Garamond" w:hAnsi="Garamond"/>
          <w:sz w:val="16"/>
          <w:szCs w:val="16"/>
        </w:rPr>
        <w:t xml:space="preserve">nr </w:t>
      </w:r>
      <w:r w:rsidR="00C95659">
        <w:rPr>
          <w:rFonts w:ascii="Garamond" w:hAnsi="Garamond"/>
          <w:sz w:val="16"/>
          <w:szCs w:val="16"/>
        </w:rPr>
        <w:t xml:space="preserve">7.2020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C95659">
        <w:rPr>
          <w:rFonts w:ascii="Garamond" w:hAnsi="Garamond"/>
          <w:sz w:val="16"/>
          <w:szCs w:val="16"/>
        </w:rPr>
        <w:t>13 stycznia 2020</w:t>
      </w:r>
      <w:r w:rsidRPr="001F2413">
        <w:rPr>
          <w:rFonts w:ascii="Garamond" w:hAnsi="Garamond"/>
          <w:sz w:val="16"/>
          <w:szCs w:val="16"/>
        </w:rPr>
        <w:t xml:space="preserve"> r.</w:t>
      </w:r>
      <w:bookmarkEnd w:id="0"/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lastRenderedPageBreak/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20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C95659">
        <w:rPr>
          <w:rFonts w:ascii="Garamond" w:hAnsi="Garamond"/>
          <w:sz w:val="16"/>
          <w:szCs w:val="16"/>
        </w:rPr>
        <w:t>65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C95659">
        <w:rPr>
          <w:rFonts w:ascii="Garamond" w:hAnsi="Garamond"/>
          <w:sz w:val="16"/>
          <w:szCs w:val="16"/>
        </w:rPr>
        <w:t>4 czerwca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8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9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1"/>
    <w:rsid w:val="00031C44"/>
    <w:rsid w:val="000F1A94"/>
    <w:rsid w:val="0012588F"/>
    <w:rsid w:val="00140088"/>
    <w:rsid w:val="00194BE5"/>
    <w:rsid w:val="001F4D03"/>
    <w:rsid w:val="002230CB"/>
    <w:rsid w:val="0043454D"/>
    <w:rsid w:val="005430D1"/>
    <w:rsid w:val="005A0AEB"/>
    <w:rsid w:val="005A760B"/>
    <w:rsid w:val="00635FBB"/>
    <w:rsid w:val="0065474A"/>
    <w:rsid w:val="006C59E9"/>
    <w:rsid w:val="0076391A"/>
    <w:rsid w:val="00867531"/>
    <w:rsid w:val="008A1C2A"/>
    <w:rsid w:val="00A538E8"/>
    <w:rsid w:val="00B73F3E"/>
    <w:rsid w:val="00B95D4E"/>
    <w:rsid w:val="00C2364C"/>
    <w:rsid w:val="00C95659"/>
    <w:rsid w:val="00CE0F5A"/>
    <w:rsid w:val="00D510D0"/>
    <w:rsid w:val="00D8627E"/>
    <w:rsid w:val="00DB0816"/>
    <w:rsid w:val="00EA22BE"/>
    <w:rsid w:val="00EA4EFB"/>
    <w:rsid w:val="00EC226C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2020-05-18T06:36:00Z</cp:lastPrinted>
  <dcterms:created xsi:type="dcterms:W3CDTF">2018-04-18T06:14:00Z</dcterms:created>
  <dcterms:modified xsi:type="dcterms:W3CDTF">2020-05-18T09:45:00Z</dcterms:modified>
</cp:coreProperties>
</file>