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B3FD" w14:textId="77777777" w:rsidR="005A0AEB" w:rsidRPr="007158AF" w:rsidRDefault="005A0AEB" w:rsidP="00140088">
      <w:pPr>
        <w:pStyle w:val="Nagwek1"/>
        <w:rPr>
          <w:bCs w:val="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90948" wp14:editId="64660850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709295" cy="555625"/>
                <wp:effectExtent l="0" t="0" r="14605" b="158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9DA40" w14:textId="77777777" w:rsidR="005A0AEB" w:rsidRPr="004A5B5D" w:rsidRDefault="005A0AEB" w:rsidP="005A0AEB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45C81E" wp14:editId="7A1B2BF8">
                                  <wp:extent cx="526211" cy="423125"/>
                                  <wp:effectExtent l="0" t="0" r="762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815" cy="48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9094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3pt;margin-top:0;width:55.8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">
                <v:textbox>
                  <w:txbxContent>
                    <w:p w14:paraId="3959DA40" w14:textId="77777777" w:rsidR="005A0AEB" w:rsidRPr="004A5B5D" w:rsidRDefault="005A0AEB" w:rsidP="005A0AEB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45C81E" wp14:editId="7A1B2BF8">
                            <wp:extent cx="526211" cy="423125"/>
                            <wp:effectExtent l="0" t="0" r="762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815" cy="482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5E">
        <w:rPr>
          <w:rFonts w:ascii="Garamond" w:hAnsi="Garamond"/>
          <w:bCs w:val="0"/>
          <w:sz w:val="44"/>
          <w:szCs w:val="44"/>
        </w:rPr>
        <w:t>BURMISTRZ MIASTA GUBINA</w:t>
      </w:r>
    </w:p>
    <w:p w14:paraId="18F0B9F8" w14:textId="77777777" w:rsidR="005A0AEB" w:rsidRDefault="00140088" w:rsidP="00140088">
      <w:pPr>
        <w:pStyle w:val="Nagwek2"/>
        <w:rPr>
          <w:rFonts w:ascii="Garamond" w:hAnsi="Garamond"/>
          <w:b w:val="0"/>
          <w:bCs w:val="0"/>
          <w:sz w:val="32"/>
          <w:szCs w:val="32"/>
        </w:rPr>
      </w:pPr>
      <w:r>
        <w:rPr>
          <w:rFonts w:ascii="Garamond" w:hAnsi="Garamond"/>
          <w:b w:val="0"/>
          <w:bCs w:val="0"/>
          <w:sz w:val="32"/>
          <w:szCs w:val="32"/>
        </w:rPr>
        <w:t xml:space="preserve">                        </w:t>
      </w:r>
      <w:r w:rsidR="005A0AEB" w:rsidRPr="0086055E">
        <w:rPr>
          <w:rFonts w:ascii="Garamond" w:hAnsi="Garamond"/>
          <w:b w:val="0"/>
          <w:bCs w:val="0"/>
          <w:sz w:val="32"/>
          <w:szCs w:val="32"/>
        </w:rPr>
        <w:t>OGŁASZA</w:t>
      </w:r>
    </w:p>
    <w:p w14:paraId="661B1664" w14:textId="77777777" w:rsidR="00635FBB" w:rsidRDefault="00635FBB" w:rsidP="00635FBB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14:paraId="6F0C929B" w14:textId="77777777" w:rsidR="005A7036" w:rsidRPr="00635FBB" w:rsidRDefault="005A7036" w:rsidP="005A7036">
      <w:pPr>
        <w:pStyle w:val="Tekstpodstawowy"/>
        <w:ind w:left="-207" w:right="-426"/>
        <w:jc w:val="center"/>
        <w:rPr>
          <w:rFonts w:ascii="Garamond" w:hAnsi="Garamond"/>
          <w:sz w:val="22"/>
          <w:szCs w:val="22"/>
        </w:rPr>
      </w:pPr>
      <w:r w:rsidRPr="00635FBB">
        <w:rPr>
          <w:rFonts w:ascii="Garamond" w:hAnsi="Garamond"/>
          <w:sz w:val="22"/>
          <w:szCs w:val="22"/>
        </w:rPr>
        <w:t xml:space="preserve">Przetarg ustny ograniczony na </w:t>
      </w:r>
      <w:r>
        <w:rPr>
          <w:rFonts w:ascii="Garamond" w:hAnsi="Garamond"/>
          <w:sz w:val="22"/>
          <w:szCs w:val="22"/>
        </w:rPr>
        <w:t xml:space="preserve">zbycie nieruchomości gruntowej </w:t>
      </w:r>
      <w:r w:rsidRPr="00635FBB">
        <w:rPr>
          <w:rFonts w:ascii="Garamond" w:hAnsi="Garamond"/>
          <w:sz w:val="22"/>
          <w:szCs w:val="22"/>
        </w:rPr>
        <w:t>z przeznaczeniem na poprawę warunków zagospodarowania przyległej nieruchomości.</w:t>
      </w:r>
    </w:p>
    <w:tbl>
      <w:tblPr>
        <w:tblStyle w:val="Tabela-Siatka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567"/>
        <w:gridCol w:w="1418"/>
        <w:gridCol w:w="1559"/>
        <w:gridCol w:w="1134"/>
        <w:gridCol w:w="992"/>
        <w:gridCol w:w="3833"/>
      </w:tblGrid>
      <w:tr w:rsidR="0065474A" w14:paraId="06674334" w14:textId="77777777" w:rsidTr="005A7036">
        <w:trPr>
          <w:jc w:val="center"/>
        </w:trPr>
        <w:tc>
          <w:tcPr>
            <w:tcW w:w="421" w:type="dxa"/>
          </w:tcPr>
          <w:p w14:paraId="2AC103EF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49C0A2C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1275" w:type="dxa"/>
          </w:tcPr>
          <w:p w14:paraId="7E321DB5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63AAB265" w14:textId="77777777" w:rsidR="0065474A" w:rsidRDefault="0065474A" w:rsidP="005A703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14:paraId="268AC075" w14:textId="77777777" w:rsidR="0065474A" w:rsidRPr="0016555A" w:rsidRDefault="0065474A" w:rsidP="005A703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567" w:type="dxa"/>
          </w:tcPr>
          <w:p w14:paraId="34061455" w14:textId="77777777" w:rsidR="00C15785" w:rsidRDefault="00C15785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7FF6B902" w14:textId="372480BB" w:rsidR="00BD0BE3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Pow.</w:t>
            </w:r>
          </w:p>
          <w:p w14:paraId="6846D3D3" w14:textId="296417ED" w:rsidR="0065474A" w:rsidRPr="0016555A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418" w:type="dxa"/>
          </w:tcPr>
          <w:p w14:paraId="0039226B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2AEA1167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14:paraId="70AA6E8A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555F8F5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14:paraId="4E0B6D33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14:paraId="276920E2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071F5266" w14:textId="77777777" w:rsidR="0065474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14:paraId="57A8D3CB" w14:textId="77777777" w:rsidR="0065474A" w:rsidRPr="0016555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992" w:type="dxa"/>
          </w:tcPr>
          <w:p w14:paraId="02D1EA31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4A120C4D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14:paraId="316ED026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14:paraId="03341B0C" w14:textId="77777777" w:rsidR="0065474A" w:rsidRPr="0016555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33" w:type="dxa"/>
          </w:tcPr>
          <w:p w14:paraId="00FE5BA7" w14:textId="77777777" w:rsidR="0065474A" w:rsidRDefault="0065474A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90EC34D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65474A" w14:paraId="4FE4F059" w14:textId="77777777" w:rsidTr="005A7036">
        <w:trPr>
          <w:jc w:val="center"/>
        </w:trPr>
        <w:tc>
          <w:tcPr>
            <w:tcW w:w="421" w:type="dxa"/>
            <w:vAlign w:val="center"/>
          </w:tcPr>
          <w:p w14:paraId="4289C748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AAEE122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61FFB63B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682874AE" w14:textId="2298746C" w:rsidR="00BC6BED" w:rsidRPr="00972DCE" w:rsidRDefault="00266E5F" w:rsidP="00BD0BE3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258/8</w:t>
            </w:r>
          </w:p>
          <w:p w14:paraId="34562912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6872629D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567" w:type="dxa"/>
            <w:vAlign w:val="center"/>
          </w:tcPr>
          <w:p w14:paraId="073E2164" w14:textId="77777777" w:rsidR="0065474A" w:rsidRPr="008F4763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7593B292" w14:textId="0D886F35" w:rsidR="0065474A" w:rsidRPr="008F4763" w:rsidRDefault="00266E5F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311</w:t>
            </w:r>
          </w:p>
          <w:p w14:paraId="3E36828D" w14:textId="77777777" w:rsidR="0065474A" w:rsidRPr="008F4763" w:rsidRDefault="0065474A" w:rsidP="00D03D9F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 w:rsidRPr="008F4763">
              <w:rPr>
                <w:rFonts w:ascii="Garamond" w:hAnsi="Garamond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45D2762E" w14:textId="2D6E8E78" w:rsidR="0065474A" w:rsidRPr="009E6026" w:rsidRDefault="004D3D50" w:rsidP="008F4763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="0065474A" w:rsidRPr="009E6026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 w:rsidR="00266E5F"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360CA7B7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1E8AEBA1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527E324A" w14:textId="5B62D25C" w:rsidR="0065474A" w:rsidRPr="00972DCE" w:rsidRDefault="004D3D50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</w:t>
            </w:r>
            <w:r w:rsidR="00266E5F">
              <w:rPr>
                <w:rFonts w:ascii="Garamond" w:hAnsi="Garamond"/>
                <w:b w:val="0"/>
                <w:sz w:val="20"/>
                <w:szCs w:val="20"/>
              </w:rPr>
              <w:t>8.800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4E5C2091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14:paraId="3F5A32CB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134" w:type="dxa"/>
            <w:vAlign w:val="center"/>
          </w:tcPr>
          <w:p w14:paraId="025B609B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0695B908" w14:textId="6337B3C5" w:rsidR="0065474A" w:rsidRPr="00972DCE" w:rsidRDefault="00C15785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  <w:r w:rsidR="00266E5F">
              <w:rPr>
                <w:rFonts w:ascii="Garamond" w:hAnsi="Garamond"/>
                <w:b w:val="0"/>
                <w:sz w:val="20"/>
                <w:szCs w:val="20"/>
              </w:rPr>
              <w:t>880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38E82D85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992" w:type="dxa"/>
            <w:vAlign w:val="center"/>
          </w:tcPr>
          <w:p w14:paraId="3E2707F8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7A699CA4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14:paraId="40AB40D4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-------</w:t>
            </w:r>
          </w:p>
          <w:p w14:paraId="04E2EB99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14:paraId="1074F340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71A4873C" w14:textId="30A195BD" w:rsidR="009E6026" w:rsidRPr="009E6026" w:rsidRDefault="0065474A" w:rsidP="002C6709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gdyż działka będąca przedmiotem sprzedaży nie może być zagospodarowana jako odrębna nieruchomość</w:t>
            </w:r>
            <w:r w:rsidR="00F730E5">
              <w:rPr>
                <w:rFonts w:ascii="Garamond" w:hAnsi="Garamond"/>
                <w:b w:val="0"/>
                <w:sz w:val="16"/>
                <w:szCs w:val="16"/>
              </w:rPr>
              <w:t xml:space="preserve"> (brak dostępu do drogi publicznej)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może natomiast być wykorzystywana przez właściciel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i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nieruchomości przyległ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ych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F04D70">
              <w:rPr>
                <w:rFonts w:ascii="Garamond" w:hAnsi="Garamond"/>
                <w:b w:val="0"/>
                <w:sz w:val="16"/>
                <w:szCs w:val="16"/>
              </w:rPr>
              <w:t xml:space="preserve">Nieruchomość znajduje się w </w:t>
            </w:r>
            <w:r w:rsidR="00F730E5">
              <w:rPr>
                <w:rFonts w:ascii="Garamond" w:hAnsi="Garamond"/>
                <w:b w:val="0"/>
                <w:sz w:val="16"/>
                <w:szCs w:val="16"/>
              </w:rPr>
              <w:t xml:space="preserve">pośredniej strefie w zachodnio-północnej części miasta, przy ul. Wojska Polskiego. </w:t>
            </w:r>
            <w:r w:rsidR="003F0E66">
              <w:rPr>
                <w:rFonts w:ascii="Garamond" w:hAnsi="Garamond"/>
                <w:b w:val="0"/>
                <w:sz w:val="16"/>
                <w:szCs w:val="16"/>
              </w:rPr>
              <w:t>Teren działki 258/8 jest o bardzo dużej różnicy wysokości (typowa skarpa), częściowo ogrodzony, wykorzystywany przez właściciela nieruchomości sąsiedniej.</w:t>
            </w:r>
          </w:p>
        </w:tc>
      </w:tr>
      <w:tr w:rsidR="003F0E66" w14:paraId="3BBD6412" w14:textId="77777777" w:rsidTr="005A7036">
        <w:trPr>
          <w:jc w:val="center"/>
        </w:trPr>
        <w:tc>
          <w:tcPr>
            <w:tcW w:w="421" w:type="dxa"/>
            <w:vAlign w:val="center"/>
          </w:tcPr>
          <w:p w14:paraId="2A40D66C" w14:textId="26C18CE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30DE66E6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5F1E616A" w14:textId="77777777" w:rsidR="003F0E66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2B8C13DF" w14:textId="2B2C8DB3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213/17</w:t>
            </w:r>
          </w:p>
          <w:p w14:paraId="37E32F39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146EB219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567" w:type="dxa"/>
            <w:vAlign w:val="center"/>
          </w:tcPr>
          <w:p w14:paraId="2197760D" w14:textId="77777777" w:rsidR="003F0E66" w:rsidRPr="008F4763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A988A1E" w14:textId="258DAC12" w:rsidR="003F0E66" w:rsidRPr="008F4763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52</w:t>
            </w:r>
          </w:p>
          <w:p w14:paraId="75B319C8" w14:textId="58F77FFB" w:rsidR="003F0E66" w:rsidRPr="008F4763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8F4763">
              <w:rPr>
                <w:rFonts w:ascii="Garamond" w:hAnsi="Garamond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72F11067" w14:textId="2A0A1014" w:rsidR="003F0E66" w:rsidRDefault="003F0E66" w:rsidP="003F0E66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E6026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 w:rsidR="007A384D"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5105689D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578B377C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12DC71D5" w14:textId="3496657A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</w:t>
            </w:r>
            <w:r w:rsidR="007A384D">
              <w:rPr>
                <w:rFonts w:ascii="Garamond" w:hAnsi="Garamond"/>
                <w:b w:val="0"/>
                <w:sz w:val="20"/>
                <w:szCs w:val="20"/>
              </w:rPr>
              <w:t>1.500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2E07AD6E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14:paraId="250F3E46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951F83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2EE6DA87" w14:textId="2705E8D2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  <w:r w:rsidR="007A384D">
              <w:rPr>
                <w:rFonts w:ascii="Garamond" w:hAnsi="Garamond"/>
                <w:b w:val="0"/>
                <w:sz w:val="20"/>
                <w:szCs w:val="20"/>
              </w:rPr>
              <w:t xml:space="preserve">  150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54D4CAD6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5A4349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46D423FB" w14:textId="77777777" w:rsidR="003F0E66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14:paraId="53753391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-------</w:t>
            </w:r>
          </w:p>
          <w:p w14:paraId="52482448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14:paraId="0276518E" w14:textId="77777777" w:rsidR="003F0E66" w:rsidRPr="00972DCE" w:rsidRDefault="003F0E66" w:rsidP="003F0E66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3833" w:type="dxa"/>
            <w:vAlign w:val="center"/>
          </w:tcPr>
          <w:p w14:paraId="102377F3" w14:textId="7F02738D" w:rsidR="003F0E66" w:rsidRDefault="003F0E66" w:rsidP="003F0E66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gdyż działka będąca przedmiotem sprzedaży nie może być zagospodarowana jako odrębna nieruchomość (brak dostępu do drogi publicznej), może natomiast być wykorzystywana przez właścicieli nieruchomości przyległych,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Nieruchomość znajduje się </w:t>
            </w:r>
            <w:r w:rsidR="00082B2D">
              <w:rPr>
                <w:rFonts w:ascii="Garamond" w:hAnsi="Garamond"/>
                <w:b w:val="0"/>
                <w:sz w:val="16"/>
                <w:szCs w:val="16"/>
              </w:rPr>
              <w:t xml:space="preserve">w północnej pośredniej części miasta przy ul. Sportowej. </w:t>
            </w:r>
            <w:r w:rsidR="008302A6">
              <w:rPr>
                <w:rFonts w:ascii="Garamond" w:hAnsi="Garamond"/>
                <w:b w:val="0"/>
                <w:sz w:val="16"/>
                <w:szCs w:val="16"/>
              </w:rPr>
              <w:t>Kształt działki przypomina wąski trójkąt</w:t>
            </w:r>
            <w:r w:rsidR="00583318">
              <w:rPr>
                <w:rFonts w:ascii="Garamond" w:hAnsi="Garamond"/>
                <w:b w:val="0"/>
                <w:sz w:val="16"/>
                <w:szCs w:val="16"/>
              </w:rPr>
              <w:t>, częściowo wykorzystywany jako nieurządzona droga dojazdowa.</w:t>
            </w:r>
          </w:p>
        </w:tc>
      </w:tr>
    </w:tbl>
    <w:p w14:paraId="1CE5615F" w14:textId="77777777" w:rsidR="0065474A" w:rsidRDefault="0065474A" w:rsidP="00836740">
      <w:pPr>
        <w:pStyle w:val="Tekstpodstawowy"/>
        <w:ind w:left="-567"/>
        <w:jc w:val="both"/>
        <w:rPr>
          <w:rFonts w:ascii="Garamond" w:hAnsi="Garamond"/>
        </w:rPr>
      </w:pPr>
    </w:p>
    <w:p w14:paraId="1A5093A8" w14:textId="5FE749C3" w:rsidR="00836740" w:rsidRDefault="00266E5F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Poz. 1 </w:t>
      </w:r>
      <w:r w:rsidR="0065474A" w:rsidRPr="001F2413">
        <w:rPr>
          <w:rFonts w:ascii="Garamond" w:hAnsi="Garamond"/>
          <w:sz w:val="16"/>
          <w:szCs w:val="16"/>
        </w:rPr>
        <w:t xml:space="preserve">Nieruchomość stanowi własność Gminy Gubin o statusie miejskim. </w:t>
      </w:r>
    </w:p>
    <w:p w14:paraId="2A59833D" w14:textId="1131B0C8" w:rsidR="00836740" w:rsidRPr="00836740" w:rsidRDefault="00836740" w:rsidP="00836740">
      <w:pPr>
        <w:spacing w:after="0" w:line="240" w:lineRule="auto"/>
        <w:ind w:left="-993"/>
        <w:jc w:val="both"/>
        <w:rPr>
          <w:rFonts w:ascii="Garamond" w:eastAsia="Times New Roman" w:hAnsi="Garamond" w:cs="Times New Roman"/>
          <w:b/>
          <w:bCs/>
          <w:sz w:val="16"/>
          <w:szCs w:val="16"/>
          <w:lang w:eastAsia="pl-PL"/>
        </w:rPr>
      </w:pP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3F0E66">
        <w:rPr>
          <w:rFonts w:ascii="Garamond" w:eastAsia="Times New Roman" w:hAnsi="Garamond" w:cs="Times New Roman"/>
          <w:bCs/>
          <w:sz w:val="16"/>
          <w:szCs w:val="16"/>
          <w:lang w:eastAsia="pl-PL"/>
        </w:rPr>
        <w:t>13428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/</w:t>
      </w:r>
      <w:r w:rsidR="003F0E66">
        <w:rPr>
          <w:rFonts w:ascii="Garamond" w:eastAsia="Times New Roman" w:hAnsi="Garamond" w:cs="Times New Roman"/>
          <w:bCs/>
          <w:sz w:val="16"/>
          <w:szCs w:val="16"/>
          <w:lang w:eastAsia="pl-PL"/>
        </w:rPr>
        <w:t>9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.</w:t>
      </w:r>
    </w:p>
    <w:p w14:paraId="5F558E2C" w14:textId="77777777" w:rsidR="00B90FCE" w:rsidRDefault="0065474A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przetargu mogą wziąć udział właściciele nieruchomości przyległych</w:t>
      </w:r>
      <w:r w:rsidR="00EA4D67">
        <w:rPr>
          <w:rFonts w:ascii="Garamond" w:hAnsi="Garamond"/>
          <w:sz w:val="16"/>
          <w:szCs w:val="16"/>
        </w:rPr>
        <w:t>, tj.</w:t>
      </w:r>
      <w:r w:rsidR="00B90FCE">
        <w:rPr>
          <w:rFonts w:ascii="Garamond" w:hAnsi="Garamond"/>
          <w:sz w:val="16"/>
          <w:szCs w:val="16"/>
        </w:rPr>
        <w:t>:</w:t>
      </w:r>
    </w:p>
    <w:p w14:paraId="6E8B8ADA" w14:textId="597932BF" w:rsidR="00B90FCE" w:rsidRDefault="00B90FCE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-</w:t>
      </w:r>
      <w:r w:rsidR="00EA4D67">
        <w:rPr>
          <w:rFonts w:ascii="Garamond" w:hAnsi="Garamond"/>
          <w:sz w:val="16"/>
          <w:szCs w:val="16"/>
        </w:rPr>
        <w:t xml:space="preserve"> nieruchomość </w:t>
      </w:r>
      <w:r w:rsidR="0065474A" w:rsidRPr="001F2413">
        <w:rPr>
          <w:rFonts w:ascii="Garamond" w:hAnsi="Garamond"/>
          <w:sz w:val="16"/>
          <w:szCs w:val="16"/>
        </w:rPr>
        <w:t>oznaczon</w:t>
      </w:r>
      <w:r w:rsidR="00EA4D67">
        <w:rPr>
          <w:rFonts w:ascii="Garamond" w:hAnsi="Garamond"/>
          <w:sz w:val="16"/>
          <w:szCs w:val="16"/>
        </w:rPr>
        <w:t>a</w:t>
      </w:r>
      <w:r w:rsidR="0065474A" w:rsidRPr="001F2413">
        <w:rPr>
          <w:rFonts w:ascii="Garamond" w:hAnsi="Garamond"/>
          <w:sz w:val="16"/>
          <w:szCs w:val="16"/>
        </w:rPr>
        <w:t xml:space="preserve"> jako dz. nr </w:t>
      </w:r>
      <w:r w:rsidR="003F0E66">
        <w:rPr>
          <w:rFonts w:ascii="Garamond" w:hAnsi="Garamond"/>
          <w:sz w:val="16"/>
          <w:szCs w:val="16"/>
        </w:rPr>
        <w:t>258/2</w:t>
      </w:r>
      <w:r w:rsidR="00A13F58">
        <w:rPr>
          <w:rFonts w:ascii="Garamond" w:hAnsi="Garamond"/>
          <w:sz w:val="16"/>
          <w:szCs w:val="16"/>
        </w:rPr>
        <w:t xml:space="preserve"> obręb </w:t>
      </w:r>
      <w:r w:rsidR="003F0E66">
        <w:rPr>
          <w:rFonts w:ascii="Garamond" w:hAnsi="Garamond"/>
          <w:sz w:val="16"/>
          <w:szCs w:val="16"/>
        </w:rPr>
        <w:t>3</w:t>
      </w:r>
      <w:r>
        <w:rPr>
          <w:rFonts w:ascii="Garamond" w:hAnsi="Garamond"/>
          <w:sz w:val="16"/>
          <w:szCs w:val="16"/>
        </w:rPr>
        <w:t xml:space="preserve"> m. Gubina</w:t>
      </w:r>
      <w:r w:rsidR="007E2551">
        <w:rPr>
          <w:rFonts w:ascii="Garamond" w:hAnsi="Garamond"/>
          <w:sz w:val="16"/>
          <w:szCs w:val="16"/>
        </w:rPr>
        <w:t xml:space="preserve">, </w:t>
      </w:r>
    </w:p>
    <w:p w14:paraId="3B00B465" w14:textId="16FCC4B6" w:rsidR="00B90FCE" w:rsidRDefault="00B90FCE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3F0E66">
        <w:rPr>
          <w:rFonts w:ascii="Garamond" w:hAnsi="Garamond"/>
          <w:sz w:val="16"/>
          <w:szCs w:val="16"/>
        </w:rPr>
        <w:t>215</w:t>
      </w:r>
      <w:r>
        <w:rPr>
          <w:rFonts w:ascii="Garamond" w:hAnsi="Garamond"/>
          <w:sz w:val="16"/>
          <w:szCs w:val="16"/>
        </w:rPr>
        <w:t xml:space="preserve"> obręb </w:t>
      </w:r>
      <w:r w:rsidR="003F0E66">
        <w:rPr>
          <w:rFonts w:ascii="Garamond" w:hAnsi="Garamond"/>
          <w:sz w:val="16"/>
          <w:szCs w:val="16"/>
        </w:rPr>
        <w:t>3</w:t>
      </w:r>
      <w:r>
        <w:rPr>
          <w:rFonts w:ascii="Garamond" w:hAnsi="Garamond"/>
          <w:sz w:val="16"/>
          <w:szCs w:val="16"/>
        </w:rPr>
        <w:t xml:space="preserve"> m. Gubina</w:t>
      </w:r>
      <w:r w:rsidR="003F0E66">
        <w:rPr>
          <w:rFonts w:ascii="Garamond" w:hAnsi="Garamond"/>
          <w:sz w:val="16"/>
          <w:szCs w:val="16"/>
        </w:rPr>
        <w:t>.</w:t>
      </w:r>
    </w:p>
    <w:p w14:paraId="1600F7A4" w14:textId="24B8E761" w:rsidR="003F0E66" w:rsidRDefault="003F0E66" w:rsidP="003F0E66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Poz. </w:t>
      </w:r>
      <w:r w:rsidR="007A384D">
        <w:rPr>
          <w:rFonts w:ascii="Garamond" w:hAnsi="Garamond"/>
          <w:sz w:val="16"/>
          <w:szCs w:val="16"/>
        </w:rPr>
        <w:t>2</w:t>
      </w:r>
      <w:r>
        <w:rPr>
          <w:rFonts w:ascii="Garamond" w:hAnsi="Garamond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</w:t>
      </w:r>
    </w:p>
    <w:p w14:paraId="3E28F910" w14:textId="749A90F3" w:rsidR="003F0E66" w:rsidRPr="00836740" w:rsidRDefault="003F0E66" w:rsidP="003F0E66">
      <w:pPr>
        <w:spacing w:after="0" w:line="240" w:lineRule="auto"/>
        <w:ind w:left="-993"/>
        <w:jc w:val="both"/>
        <w:rPr>
          <w:rFonts w:ascii="Garamond" w:eastAsia="Times New Roman" w:hAnsi="Garamond" w:cs="Times New Roman"/>
          <w:b/>
          <w:bCs/>
          <w:sz w:val="16"/>
          <w:szCs w:val="16"/>
          <w:lang w:eastAsia="pl-PL"/>
        </w:rPr>
      </w:pP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>
        <w:rPr>
          <w:rFonts w:ascii="Garamond" w:eastAsia="Times New Roman" w:hAnsi="Garamond" w:cs="Times New Roman"/>
          <w:bCs/>
          <w:sz w:val="16"/>
          <w:szCs w:val="16"/>
          <w:lang w:eastAsia="pl-PL"/>
        </w:rPr>
        <w:t>1</w:t>
      </w:r>
      <w:r w:rsidR="007A384D">
        <w:rPr>
          <w:rFonts w:ascii="Garamond" w:eastAsia="Times New Roman" w:hAnsi="Garamond" w:cs="Times New Roman"/>
          <w:bCs/>
          <w:sz w:val="16"/>
          <w:szCs w:val="16"/>
          <w:lang w:eastAsia="pl-PL"/>
        </w:rPr>
        <w:t>2866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/</w:t>
      </w:r>
      <w:r w:rsidR="007A384D">
        <w:rPr>
          <w:rFonts w:ascii="Garamond" w:eastAsia="Times New Roman" w:hAnsi="Garamond" w:cs="Times New Roman"/>
          <w:bCs/>
          <w:sz w:val="16"/>
          <w:szCs w:val="16"/>
          <w:lang w:eastAsia="pl-PL"/>
        </w:rPr>
        <w:t>4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.</w:t>
      </w:r>
    </w:p>
    <w:p w14:paraId="44E7B447" w14:textId="77777777" w:rsidR="003F0E66" w:rsidRDefault="003F0E66" w:rsidP="003F0E66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przetargu mogą wziąć udział właściciele nieruchomości przyległych</w:t>
      </w:r>
      <w:r>
        <w:rPr>
          <w:rFonts w:ascii="Garamond" w:hAnsi="Garamond"/>
          <w:sz w:val="16"/>
          <w:szCs w:val="16"/>
        </w:rPr>
        <w:t>, tj.:</w:t>
      </w:r>
    </w:p>
    <w:p w14:paraId="07FBDCFD" w14:textId="32BDAE61" w:rsidR="003F0E66" w:rsidRDefault="003F0E66" w:rsidP="003F0E66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7A384D">
        <w:rPr>
          <w:rFonts w:ascii="Garamond" w:hAnsi="Garamond"/>
          <w:sz w:val="16"/>
          <w:szCs w:val="16"/>
        </w:rPr>
        <w:t>208 i 213/11</w:t>
      </w:r>
      <w:r>
        <w:rPr>
          <w:rFonts w:ascii="Garamond" w:hAnsi="Garamond"/>
          <w:sz w:val="16"/>
          <w:szCs w:val="16"/>
        </w:rPr>
        <w:t xml:space="preserve"> obręb </w:t>
      </w:r>
      <w:r w:rsidR="007A384D">
        <w:rPr>
          <w:rFonts w:ascii="Garamond" w:hAnsi="Garamond"/>
          <w:sz w:val="16"/>
          <w:szCs w:val="16"/>
        </w:rPr>
        <w:t>2</w:t>
      </w:r>
      <w:r>
        <w:rPr>
          <w:rFonts w:ascii="Garamond" w:hAnsi="Garamond"/>
          <w:sz w:val="16"/>
          <w:szCs w:val="16"/>
        </w:rPr>
        <w:t xml:space="preserve"> m. Gubina, </w:t>
      </w:r>
    </w:p>
    <w:p w14:paraId="64599D8A" w14:textId="2D61461F" w:rsidR="003F0E66" w:rsidRDefault="003F0E66" w:rsidP="003F0E66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7A384D">
        <w:rPr>
          <w:rFonts w:ascii="Garamond" w:hAnsi="Garamond"/>
          <w:sz w:val="16"/>
          <w:szCs w:val="16"/>
        </w:rPr>
        <w:t>213/14</w:t>
      </w:r>
      <w:r>
        <w:rPr>
          <w:rFonts w:ascii="Garamond" w:hAnsi="Garamond"/>
          <w:sz w:val="16"/>
          <w:szCs w:val="16"/>
        </w:rPr>
        <w:t xml:space="preserve"> obręb </w:t>
      </w:r>
      <w:r w:rsidR="007A384D">
        <w:rPr>
          <w:rFonts w:ascii="Garamond" w:hAnsi="Garamond"/>
          <w:sz w:val="16"/>
          <w:szCs w:val="16"/>
        </w:rPr>
        <w:t>2</w:t>
      </w:r>
      <w:r>
        <w:rPr>
          <w:rFonts w:ascii="Garamond" w:hAnsi="Garamond"/>
          <w:sz w:val="16"/>
          <w:szCs w:val="16"/>
        </w:rPr>
        <w:t xml:space="preserve"> m. Gubina.</w:t>
      </w:r>
    </w:p>
    <w:p w14:paraId="721D34AE" w14:textId="5CFDA9D9" w:rsidR="00B90FCE" w:rsidRDefault="00B90FCE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</w:p>
    <w:p w14:paraId="5F2829AB" w14:textId="7E991DB0" w:rsidR="000F1A94" w:rsidRPr="00B90FCE" w:rsidRDefault="0065474A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B90FCE">
        <w:rPr>
          <w:rFonts w:ascii="Garamond" w:hAnsi="Garamond"/>
          <w:sz w:val="16"/>
          <w:szCs w:val="16"/>
        </w:rPr>
        <w:t xml:space="preserve">Przetarg odbędzie się dnia </w:t>
      </w:r>
      <w:r w:rsidR="0026194B">
        <w:rPr>
          <w:rFonts w:ascii="Garamond" w:hAnsi="Garamond"/>
          <w:sz w:val="16"/>
          <w:szCs w:val="16"/>
          <w:u w:val="single"/>
        </w:rPr>
        <w:t>31</w:t>
      </w:r>
      <w:r w:rsidR="00387419">
        <w:rPr>
          <w:rFonts w:ascii="Garamond" w:hAnsi="Garamond"/>
          <w:sz w:val="16"/>
          <w:szCs w:val="16"/>
          <w:u w:val="single"/>
        </w:rPr>
        <w:t xml:space="preserve"> marca</w:t>
      </w:r>
      <w:r w:rsidR="00EE005E" w:rsidRPr="00B90FCE">
        <w:rPr>
          <w:rFonts w:ascii="Garamond" w:hAnsi="Garamond"/>
          <w:sz w:val="16"/>
          <w:szCs w:val="16"/>
          <w:u w:val="single"/>
        </w:rPr>
        <w:t xml:space="preserve"> 2022</w:t>
      </w:r>
      <w:r w:rsidRPr="00B90FCE">
        <w:rPr>
          <w:rFonts w:ascii="Garamond" w:hAnsi="Garamond"/>
          <w:sz w:val="16"/>
          <w:szCs w:val="16"/>
          <w:u w:val="single"/>
        </w:rPr>
        <w:t xml:space="preserve"> r. o godz. 1</w:t>
      </w:r>
      <w:r w:rsidR="00266E5F">
        <w:rPr>
          <w:rFonts w:ascii="Garamond" w:hAnsi="Garamond"/>
          <w:sz w:val="16"/>
          <w:szCs w:val="16"/>
          <w:u w:val="single"/>
        </w:rPr>
        <w:t>1</w:t>
      </w:r>
      <w:r w:rsidRPr="00B90FCE">
        <w:rPr>
          <w:rFonts w:ascii="Garamond" w:hAnsi="Garamond"/>
          <w:sz w:val="16"/>
          <w:szCs w:val="16"/>
          <w:u w:val="single"/>
        </w:rPr>
        <w:t>.00</w:t>
      </w:r>
      <w:r w:rsidRPr="00B90FCE">
        <w:rPr>
          <w:rFonts w:ascii="Garamond" w:hAnsi="Garamond"/>
          <w:sz w:val="16"/>
          <w:szCs w:val="16"/>
        </w:rPr>
        <w:t xml:space="preserve"> w sali narad Urzędu Miejskiego w Gubinie ul. Piastowska 24.</w:t>
      </w:r>
    </w:p>
    <w:p w14:paraId="22D37FB5" w14:textId="77777777" w:rsidR="005A0AEB" w:rsidRPr="00EC226C" w:rsidRDefault="005A0AEB" w:rsidP="005A0AEB">
      <w:pPr>
        <w:pStyle w:val="Tekstpodstawowy"/>
        <w:ind w:left="-993" w:right="-851"/>
        <w:jc w:val="both"/>
        <w:rPr>
          <w:rFonts w:ascii="Garamond" w:hAnsi="Garamond"/>
          <w:bCs w:val="0"/>
          <w:sz w:val="16"/>
          <w:szCs w:val="16"/>
        </w:rPr>
      </w:pPr>
      <w:r w:rsidRPr="00EC226C">
        <w:rPr>
          <w:rFonts w:ascii="Garamond" w:hAnsi="Garamond"/>
          <w:bCs w:val="0"/>
          <w:sz w:val="16"/>
          <w:szCs w:val="16"/>
        </w:rPr>
        <w:t>Warunkiem uczestnictwa w przetarg</w:t>
      </w:r>
      <w:r w:rsidR="000F1A94" w:rsidRPr="00EC226C">
        <w:rPr>
          <w:rFonts w:ascii="Garamond" w:hAnsi="Garamond"/>
          <w:bCs w:val="0"/>
          <w:sz w:val="16"/>
          <w:szCs w:val="16"/>
        </w:rPr>
        <w:t>ach</w:t>
      </w:r>
      <w:r w:rsidRPr="00EC226C">
        <w:rPr>
          <w:rFonts w:ascii="Garamond" w:hAnsi="Garamond"/>
          <w:bCs w:val="0"/>
          <w:sz w:val="16"/>
          <w:szCs w:val="16"/>
        </w:rPr>
        <w:t xml:space="preserve"> jest:</w:t>
      </w:r>
    </w:p>
    <w:p w14:paraId="26D6FC87" w14:textId="1788EFAA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</w:t>
      </w:r>
      <w:r w:rsidR="0026194B">
        <w:rPr>
          <w:rFonts w:ascii="Garamond" w:hAnsi="Garamond"/>
          <w:sz w:val="16"/>
          <w:szCs w:val="16"/>
        </w:rPr>
        <w:t>28</w:t>
      </w:r>
      <w:r w:rsidR="00387419">
        <w:rPr>
          <w:rFonts w:ascii="Garamond" w:hAnsi="Garamond"/>
          <w:sz w:val="16"/>
          <w:szCs w:val="16"/>
        </w:rPr>
        <w:t xml:space="preserve"> marca</w:t>
      </w:r>
      <w:r w:rsidR="00EE005E">
        <w:rPr>
          <w:rFonts w:ascii="Garamond" w:hAnsi="Garamond"/>
          <w:sz w:val="16"/>
          <w:szCs w:val="16"/>
        </w:rPr>
        <w:t xml:space="preserve"> </w:t>
      </w:r>
      <w:r w:rsidR="00AB02F1">
        <w:rPr>
          <w:rFonts w:ascii="Garamond" w:hAnsi="Garamond"/>
          <w:sz w:val="16"/>
          <w:szCs w:val="16"/>
        </w:rPr>
        <w:t>202</w:t>
      </w:r>
      <w:r w:rsidR="00EE005E">
        <w:rPr>
          <w:rFonts w:ascii="Garamond" w:hAnsi="Garamond"/>
          <w:sz w:val="16"/>
          <w:szCs w:val="16"/>
        </w:rPr>
        <w:t>2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14:paraId="20A27C3F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14:paraId="14852F04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 księgi wieczystej).</w:t>
      </w:r>
    </w:p>
    <w:p w14:paraId="546973C9" w14:textId="1004F111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26194B">
        <w:rPr>
          <w:rFonts w:ascii="Garamond" w:hAnsi="Garamond"/>
          <w:bCs w:val="0"/>
          <w:sz w:val="16"/>
          <w:szCs w:val="16"/>
          <w:u w:val="single"/>
        </w:rPr>
        <w:t>28</w:t>
      </w:r>
      <w:r w:rsidR="00387419">
        <w:rPr>
          <w:rFonts w:ascii="Garamond" w:hAnsi="Garamond"/>
          <w:bCs w:val="0"/>
          <w:sz w:val="16"/>
          <w:szCs w:val="16"/>
          <w:u w:val="single"/>
        </w:rPr>
        <w:t xml:space="preserve"> marca</w:t>
      </w:r>
      <w:r w:rsidR="00EE005E">
        <w:rPr>
          <w:rFonts w:ascii="Garamond" w:hAnsi="Garamond"/>
          <w:bCs w:val="0"/>
          <w:sz w:val="16"/>
          <w:szCs w:val="16"/>
          <w:u w:val="single"/>
        </w:rPr>
        <w:t xml:space="preserve"> 2022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</w:t>
      </w:r>
      <w:r w:rsidR="00A538E8">
        <w:rPr>
          <w:rFonts w:ascii="Garamond" w:hAnsi="Garamond"/>
          <w:b w:val="0"/>
          <w:bCs w:val="0"/>
          <w:sz w:val="16"/>
          <w:szCs w:val="16"/>
          <w:u w:val="single"/>
        </w:rPr>
        <w:t xml:space="preserve">Współpracy Zagranicznej </w:t>
      </w:r>
      <w:r w:rsidRPr="001F2413">
        <w:rPr>
          <w:rFonts w:ascii="Garamond" w:hAnsi="Garamond"/>
          <w:b w:val="0"/>
          <w:sz w:val="16"/>
          <w:szCs w:val="16"/>
          <w:u w:val="single"/>
        </w:rPr>
        <w:t xml:space="preserve">Urzędu Miejskiego w Gubinie (pok. nr 104), </w:t>
      </w:r>
      <w:r w:rsidR="00A538E8">
        <w:rPr>
          <w:rFonts w:ascii="Garamond" w:hAnsi="Garamond"/>
          <w:b w:val="0"/>
          <w:sz w:val="16"/>
          <w:szCs w:val="16"/>
          <w:u w:val="single"/>
        </w:rPr>
        <w:t xml:space="preserve">    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ul. Piastowska 24.</w:t>
      </w:r>
    </w:p>
    <w:p w14:paraId="6C8BBCDC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 xml:space="preserve">Komisja przetargowa po sprawdzeniu, czy oferenci spełniają warunki przetargowe, zakwalifikuje uczestników do udziału w przetargu, wywieszając listę osób zakwalifikowanych w siedzibie Urzędu Miejskiego w Gubinie w Wydziale Nieruchomości i </w:t>
      </w:r>
      <w:r w:rsidR="0012588F">
        <w:rPr>
          <w:rFonts w:ascii="Garamond" w:hAnsi="Garamond"/>
          <w:b w:val="0"/>
          <w:sz w:val="16"/>
          <w:szCs w:val="16"/>
        </w:rPr>
        <w:t>Współpracy Zagranicznej</w:t>
      </w:r>
      <w:r w:rsidRPr="001F2413">
        <w:rPr>
          <w:rFonts w:ascii="Garamond" w:hAnsi="Garamond"/>
          <w:b w:val="0"/>
          <w:sz w:val="16"/>
          <w:szCs w:val="16"/>
        </w:rPr>
        <w:t xml:space="preserve"> nie później niż na 1 dzień przed wyznaczonym terminem przetargu.</w:t>
      </w:r>
    </w:p>
    <w:p w14:paraId="47D931C4" w14:textId="534059F3" w:rsidR="00EA4EFB" w:rsidRDefault="005A0AEB" w:rsidP="00EA4EFB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BDB3444" w14:textId="77777777" w:rsidR="009E6026" w:rsidRDefault="009E6026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>Przystępujący do przetargu powinni zapoznać się we własnym zakresie i na własną odpowiedzialność ze stanem prawnym i faktycznym przedmiotu przetargu w tym z jego parametrami, aktualnym oraz możliwym przyszłym sposobem zagospodarowania. Rozpoznanie wszelkich warunków faktycznych i prawnych niezbędnych do realizacji planowanej inwestycji leży w całości po stronie przystępującego do przetargu i stanowi obszar jego ryzyka.</w:t>
      </w:r>
    </w:p>
    <w:p w14:paraId="72571121" w14:textId="48B827C9" w:rsidR="005A0AEB" w:rsidRPr="009E6026" w:rsidRDefault="00EC226C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>Osob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przystępując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przetargu zobowiązan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jest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zobowiązana jest do sprawdzenia czy przedmiotowe nieruchomości odpowiadają jego planowanym zamierzeniom inwestycyjnym.</w:t>
      </w:r>
      <w:r>
        <w:rPr>
          <w:rFonts w:ascii="Garamond" w:hAnsi="Garamond"/>
          <w:sz w:val="16"/>
          <w:szCs w:val="16"/>
        </w:rPr>
        <w:t xml:space="preserve"> </w:t>
      </w:r>
      <w:r w:rsidR="005A0AEB" w:rsidRPr="001F2413">
        <w:rPr>
          <w:rFonts w:ascii="Garamond" w:hAnsi="Garamond"/>
          <w:sz w:val="16"/>
          <w:szCs w:val="16"/>
        </w:rPr>
        <w:t xml:space="preserve">Zbycie przedmiotowej nieruchomości odbędzie się w stanie istniejącego zainwestowania i istniejącej infrastruktury, w związku z czym nabywający przejmie nieruchomość w stanie faktycznym i prawnym. </w:t>
      </w:r>
    </w:p>
    <w:p w14:paraId="11391288" w14:textId="0A66673E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przypadku wystąpienia konieczności usunięcia drzew i krzewów rosnących na ww</w:t>
      </w:r>
      <w:r w:rsidR="00AB02F1">
        <w:rPr>
          <w:rFonts w:ascii="Garamond" w:hAnsi="Garamond"/>
          <w:sz w:val="16"/>
          <w:szCs w:val="16"/>
        </w:rPr>
        <w:t>.</w:t>
      </w:r>
      <w:r w:rsidRPr="001F2413">
        <w:rPr>
          <w:rFonts w:ascii="Garamond" w:hAnsi="Garamond"/>
          <w:sz w:val="16"/>
          <w:szCs w:val="16"/>
        </w:rPr>
        <w:t xml:space="preserve"> działce, ewentualnego przełożenia istniejącej infrastruktury technicznej (w uzgodnieniu z właścicielem sieci technicznej), nabywca nieruchomości wykona wymienione prace we własnym zakresie i na własny koszt. Nabywca zobowiązany jest, w przypadku realizacji zamierzonej inwestycji, 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5588A27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lastRenderedPageBreak/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75CE0F9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14:paraId="7D380111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14:paraId="688DEFD2" w14:textId="4C9422DB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Przetarg przeprowadzi komisja w składzie wyznaczonym w § 1 Zarządzenia nr </w:t>
      </w:r>
      <w:r w:rsidR="00387419">
        <w:rPr>
          <w:rFonts w:ascii="Garamond" w:hAnsi="Garamond"/>
          <w:sz w:val="16"/>
          <w:szCs w:val="16"/>
        </w:rPr>
        <w:t>13</w:t>
      </w:r>
      <w:r w:rsidR="00C95659">
        <w:rPr>
          <w:rFonts w:ascii="Garamond" w:hAnsi="Garamond"/>
          <w:sz w:val="16"/>
          <w:szCs w:val="16"/>
        </w:rPr>
        <w:t>.202</w:t>
      </w:r>
      <w:r w:rsidR="00387419">
        <w:rPr>
          <w:rFonts w:ascii="Garamond" w:hAnsi="Garamond"/>
          <w:sz w:val="16"/>
          <w:szCs w:val="16"/>
        </w:rPr>
        <w:t>2</w:t>
      </w:r>
      <w:r w:rsidR="00C95659">
        <w:rPr>
          <w:rFonts w:ascii="Garamond" w:hAnsi="Garamond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 xml:space="preserve">Burmistrza Miasta Gubina z dnia </w:t>
      </w:r>
      <w:r w:rsidR="00387419">
        <w:rPr>
          <w:rFonts w:ascii="Garamond" w:hAnsi="Garamond"/>
          <w:sz w:val="16"/>
          <w:szCs w:val="16"/>
        </w:rPr>
        <w:t>12</w:t>
      </w:r>
      <w:r w:rsidR="00C95659">
        <w:rPr>
          <w:rFonts w:ascii="Garamond" w:hAnsi="Garamond"/>
          <w:sz w:val="16"/>
          <w:szCs w:val="16"/>
        </w:rPr>
        <w:t xml:space="preserve"> stycznia 202</w:t>
      </w:r>
      <w:r w:rsidR="00387419">
        <w:rPr>
          <w:rFonts w:ascii="Garamond" w:hAnsi="Garamond"/>
          <w:sz w:val="16"/>
          <w:szCs w:val="16"/>
        </w:rPr>
        <w:t>2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283634D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296D98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14:paraId="3022EDD3" w14:textId="77777777" w:rsidR="005A0AEB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14:paraId="470A87D3" w14:textId="77777777" w:rsidR="005A0AEB" w:rsidRPr="001F2413" w:rsidRDefault="002230C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 xml:space="preserve"> </w:t>
      </w:r>
      <w:r w:rsidR="005A0AEB"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A09912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14:paraId="5C1172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14:paraId="247218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483241F7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4B197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2B12C9A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0ACDDBA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1670C8C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FD225DE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Niedotrzymanie terminu zawarcia umowy notarialnej bez usprawiedliwienia przez uczestnika, który przetarg wygra, powoduje przepadek wadium a przetarg czyni niebyłym.</w:t>
      </w:r>
    </w:p>
    <w:p w14:paraId="3C03B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14:paraId="75AC1AA2" w14:textId="05AA6F03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</w:t>
      </w:r>
      <w:proofErr w:type="spellStart"/>
      <w:r w:rsidRPr="001F2413">
        <w:rPr>
          <w:rFonts w:ascii="Garamond" w:hAnsi="Garamond"/>
          <w:sz w:val="16"/>
          <w:szCs w:val="16"/>
        </w:rPr>
        <w:t>t.j</w:t>
      </w:r>
      <w:proofErr w:type="spellEnd"/>
      <w:r w:rsidRPr="001F2413">
        <w:rPr>
          <w:rFonts w:ascii="Garamond" w:hAnsi="Garamond"/>
          <w:sz w:val="16"/>
          <w:szCs w:val="16"/>
        </w:rPr>
        <w:t>. Dz. U. z 20</w:t>
      </w:r>
      <w:r w:rsidR="00C95659">
        <w:rPr>
          <w:rFonts w:ascii="Garamond" w:hAnsi="Garamond"/>
          <w:sz w:val="16"/>
          <w:szCs w:val="16"/>
        </w:rPr>
        <w:t>2</w:t>
      </w:r>
      <w:r w:rsidR="009E69E0">
        <w:rPr>
          <w:rFonts w:ascii="Garamond" w:hAnsi="Garamond"/>
          <w:sz w:val="16"/>
          <w:szCs w:val="16"/>
        </w:rPr>
        <w:t>1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9267D1">
        <w:rPr>
          <w:rFonts w:ascii="Garamond" w:hAnsi="Garamond"/>
          <w:sz w:val="16"/>
          <w:szCs w:val="16"/>
        </w:rPr>
        <w:t>1</w:t>
      </w:r>
      <w:r w:rsidR="009E69E0">
        <w:rPr>
          <w:rFonts w:ascii="Garamond" w:hAnsi="Garamond"/>
          <w:sz w:val="16"/>
          <w:szCs w:val="16"/>
        </w:rPr>
        <w:t>899</w:t>
      </w:r>
      <w:r w:rsidRPr="001F2413">
        <w:rPr>
          <w:rFonts w:ascii="Garamond" w:hAnsi="Garamond"/>
          <w:sz w:val="16"/>
          <w:szCs w:val="16"/>
        </w:rPr>
        <w:t>). Przetarg zostanie przeprowadzony zgodnie z Rozporządzeniem Rady Ministrów z dnia 14 września 2004 r. w sprawie sposobu i trybu przeprowadzania przetargów oraz rokowań na zbycie nieruchomości (j.t. Dz. U. z 20</w:t>
      </w:r>
      <w:r w:rsidR="00D024EB">
        <w:rPr>
          <w:rFonts w:ascii="Garamond" w:hAnsi="Garamond"/>
          <w:sz w:val="16"/>
          <w:szCs w:val="16"/>
        </w:rPr>
        <w:t>21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D024EB">
        <w:rPr>
          <w:rFonts w:ascii="Garamond" w:hAnsi="Garamond"/>
          <w:sz w:val="16"/>
          <w:szCs w:val="16"/>
        </w:rPr>
        <w:t>2213</w:t>
      </w:r>
      <w:r w:rsidRPr="001F2413">
        <w:rPr>
          <w:rFonts w:ascii="Garamond" w:hAnsi="Garamond"/>
          <w:sz w:val="16"/>
          <w:szCs w:val="16"/>
        </w:rPr>
        <w:t>).</w:t>
      </w:r>
    </w:p>
    <w:p w14:paraId="66869E4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14:paraId="5573EE13" w14:textId="4B826E0D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89393F">
        <w:rPr>
          <w:rFonts w:ascii="Garamond" w:hAnsi="Garamond"/>
          <w:sz w:val="16"/>
          <w:szCs w:val="16"/>
        </w:rPr>
        <w:t>10 lutego</w:t>
      </w:r>
      <w:r w:rsidR="00D024EB">
        <w:rPr>
          <w:rFonts w:ascii="Garamond" w:hAnsi="Garamond"/>
          <w:sz w:val="16"/>
          <w:szCs w:val="16"/>
        </w:rPr>
        <w:t xml:space="preserve"> 2022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5B8143A4" w14:textId="77777777" w:rsidR="00EA4EFB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rFonts w:ascii="Garamond" w:hAnsi="Garamond"/>
          <w:sz w:val="16"/>
          <w:szCs w:val="16"/>
        </w:rPr>
      </w:pP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Szczegółowych informacji odnośnie zbywanej nieruchomości można uzyskać w Wydziale Nieruchomości i </w:t>
      </w:r>
      <w:r w:rsidR="0012588F">
        <w:rPr>
          <w:rFonts w:ascii="Garamond" w:eastAsia="Times New Roman" w:hAnsi="Garamond" w:cs="Times New Roman"/>
          <w:sz w:val="16"/>
          <w:szCs w:val="16"/>
          <w:lang w:eastAsia="pl-PL"/>
        </w:rPr>
        <w:t>Współpracy Zagranicznej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Urzędu Miejskiego w Gubinie,  </w:t>
      </w:r>
      <w:r w:rsid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                 </w:t>
      </w:r>
      <w:r w:rsidR="00511977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ul. Piastowska 24, tel. (68) 4558133, w godzinach pracy urzędu. </w:t>
      </w:r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, </w:t>
      </w:r>
      <w:hyperlink r:id="rId7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www.bip.gubin.pl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oraz </w:t>
      </w:r>
      <w:hyperlink r:id="rId8" w:history="1">
        <w:r w:rsidR="00EA4EFB" w:rsidRPr="00A505E5">
          <w:rPr>
            <w:rStyle w:val="Hipercze"/>
            <w:rFonts w:ascii="Garamond" w:hAnsi="Garamond"/>
            <w:sz w:val="16"/>
            <w:szCs w:val="16"/>
          </w:rPr>
          <w:t>www.przetargi-komunikaty.pl</w:t>
        </w:r>
      </w:hyperlink>
      <w:r w:rsidR="00EA4EFB">
        <w:rPr>
          <w:rFonts w:ascii="Garamond" w:hAnsi="Garamond"/>
          <w:sz w:val="16"/>
          <w:szCs w:val="16"/>
        </w:rPr>
        <w:t xml:space="preserve"> oraz w prasie lokalnej „Wiadomości Gubińskie”.</w:t>
      </w:r>
    </w:p>
    <w:p w14:paraId="090CC445" w14:textId="77777777" w:rsidR="00031C44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sz w:val="16"/>
          <w:szCs w:val="16"/>
        </w:rPr>
      </w:pPr>
    </w:p>
    <w:p w14:paraId="49D24ECD" w14:textId="77777777" w:rsidR="005A0AEB" w:rsidRPr="00C74DE8" w:rsidRDefault="005A0AEB" w:rsidP="005A0AEB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p w14:paraId="2425F01B" w14:textId="77777777" w:rsidR="001F4D03" w:rsidRDefault="001F4D03"/>
    <w:sectPr w:rsidR="001F4D03" w:rsidSect="00EA4E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0D8A"/>
    <w:multiLevelType w:val="hybridMultilevel"/>
    <w:tmpl w:val="35AA3F48"/>
    <w:lvl w:ilvl="0" w:tplc="353496A4">
      <w:start w:val="2"/>
      <w:numFmt w:val="decimal"/>
      <w:lvlText w:val="%1."/>
      <w:lvlJc w:val="left"/>
      <w:pPr>
        <w:ind w:left="577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1" w:tplc="80BC1F64">
      <w:numFmt w:val="bullet"/>
      <w:lvlText w:val="•"/>
      <w:lvlJc w:val="left"/>
      <w:pPr>
        <w:ind w:left="1500" w:hanging="293"/>
      </w:pPr>
      <w:rPr>
        <w:lang w:val="pl-PL" w:eastAsia="en-US" w:bidi="ar-SA"/>
      </w:rPr>
    </w:lvl>
    <w:lvl w:ilvl="2" w:tplc="C5BEA696">
      <w:numFmt w:val="bullet"/>
      <w:lvlText w:val="•"/>
      <w:lvlJc w:val="left"/>
      <w:pPr>
        <w:ind w:left="2423" w:hanging="293"/>
      </w:pPr>
      <w:rPr>
        <w:lang w:val="pl-PL" w:eastAsia="en-US" w:bidi="ar-SA"/>
      </w:rPr>
    </w:lvl>
    <w:lvl w:ilvl="3" w:tplc="7780CCD0">
      <w:numFmt w:val="bullet"/>
      <w:lvlText w:val="•"/>
      <w:lvlJc w:val="left"/>
      <w:pPr>
        <w:ind w:left="3345" w:hanging="293"/>
      </w:pPr>
      <w:rPr>
        <w:lang w:val="pl-PL" w:eastAsia="en-US" w:bidi="ar-SA"/>
      </w:rPr>
    </w:lvl>
    <w:lvl w:ilvl="4" w:tplc="E4A09120">
      <w:numFmt w:val="bullet"/>
      <w:lvlText w:val="•"/>
      <w:lvlJc w:val="left"/>
      <w:pPr>
        <w:ind w:left="4268" w:hanging="293"/>
      </w:pPr>
      <w:rPr>
        <w:lang w:val="pl-PL" w:eastAsia="en-US" w:bidi="ar-SA"/>
      </w:rPr>
    </w:lvl>
    <w:lvl w:ilvl="5" w:tplc="25B6FF56">
      <w:numFmt w:val="bullet"/>
      <w:lvlText w:val="•"/>
      <w:lvlJc w:val="left"/>
      <w:pPr>
        <w:ind w:left="5191" w:hanging="293"/>
      </w:pPr>
      <w:rPr>
        <w:lang w:val="pl-PL" w:eastAsia="en-US" w:bidi="ar-SA"/>
      </w:rPr>
    </w:lvl>
    <w:lvl w:ilvl="6" w:tplc="462A403E">
      <w:numFmt w:val="bullet"/>
      <w:lvlText w:val="•"/>
      <w:lvlJc w:val="left"/>
      <w:pPr>
        <w:ind w:left="6113" w:hanging="293"/>
      </w:pPr>
      <w:rPr>
        <w:lang w:val="pl-PL" w:eastAsia="en-US" w:bidi="ar-SA"/>
      </w:rPr>
    </w:lvl>
    <w:lvl w:ilvl="7" w:tplc="FAF08B06">
      <w:numFmt w:val="bullet"/>
      <w:lvlText w:val="•"/>
      <w:lvlJc w:val="left"/>
      <w:pPr>
        <w:ind w:left="7036" w:hanging="293"/>
      </w:pPr>
      <w:rPr>
        <w:lang w:val="pl-PL" w:eastAsia="en-US" w:bidi="ar-SA"/>
      </w:rPr>
    </w:lvl>
    <w:lvl w:ilvl="8" w:tplc="E92CCFCE">
      <w:numFmt w:val="bullet"/>
      <w:lvlText w:val="•"/>
      <w:lvlJc w:val="left"/>
      <w:pPr>
        <w:ind w:left="7959" w:hanging="293"/>
      </w:pPr>
      <w:rPr>
        <w:lang w:val="pl-PL" w:eastAsia="en-US" w:bidi="ar-SA"/>
      </w:rPr>
    </w:lvl>
  </w:abstractNum>
  <w:abstractNum w:abstractNumId="1" w15:restartNumberingAfterBreak="0">
    <w:nsid w:val="4DBD12B5"/>
    <w:multiLevelType w:val="hybridMultilevel"/>
    <w:tmpl w:val="6DC23938"/>
    <w:lvl w:ilvl="0" w:tplc="559CA1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4C0221F"/>
    <w:multiLevelType w:val="hybridMultilevel"/>
    <w:tmpl w:val="1662148C"/>
    <w:lvl w:ilvl="0" w:tplc="286C01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31"/>
    <w:rsid w:val="00031C44"/>
    <w:rsid w:val="00082B2D"/>
    <w:rsid w:val="000F1A94"/>
    <w:rsid w:val="0012588F"/>
    <w:rsid w:val="00140088"/>
    <w:rsid w:val="001868E3"/>
    <w:rsid w:val="00194BE5"/>
    <w:rsid w:val="001F4D03"/>
    <w:rsid w:val="002230CB"/>
    <w:rsid w:val="0026194B"/>
    <w:rsid w:val="00266E5F"/>
    <w:rsid w:val="002C6709"/>
    <w:rsid w:val="0034364E"/>
    <w:rsid w:val="00387419"/>
    <w:rsid w:val="003F0E66"/>
    <w:rsid w:val="0043454D"/>
    <w:rsid w:val="004A31D6"/>
    <w:rsid w:val="004D3D50"/>
    <w:rsid w:val="00511977"/>
    <w:rsid w:val="005430D1"/>
    <w:rsid w:val="00583318"/>
    <w:rsid w:val="005A0AEB"/>
    <w:rsid w:val="005A7036"/>
    <w:rsid w:val="005A760B"/>
    <w:rsid w:val="00635FBB"/>
    <w:rsid w:val="0065474A"/>
    <w:rsid w:val="00672E5D"/>
    <w:rsid w:val="006C59E9"/>
    <w:rsid w:val="0076391A"/>
    <w:rsid w:val="007A384D"/>
    <w:rsid w:val="007C37EE"/>
    <w:rsid w:val="007E2551"/>
    <w:rsid w:val="008302A6"/>
    <w:rsid w:val="00836740"/>
    <w:rsid w:val="00867531"/>
    <w:rsid w:val="0089393F"/>
    <w:rsid w:val="008A1C2A"/>
    <w:rsid w:val="008F4763"/>
    <w:rsid w:val="009267D1"/>
    <w:rsid w:val="009E6026"/>
    <w:rsid w:val="009E69E0"/>
    <w:rsid w:val="00A13F58"/>
    <w:rsid w:val="00A538E8"/>
    <w:rsid w:val="00A64A53"/>
    <w:rsid w:val="00A954CA"/>
    <w:rsid w:val="00AB02F1"/>
    <w:rsid w:val="00AF000E"/>
    <w:rsid w:val="00B73F3E"/>
    <w:rsid w:val="00B90FCE"/>
    <w:rsid w:val="00B95D4E"/>
    <w:rsid w:val="00BC6BED"/>
    <w:rsid w:val="00BD0BE3"/>
    <w:rsid w:val="00C15785"/>
    <w:rsid w:val="00C2364C"/>
    <w:rsid w:val="00C95659"/>
    <w:rsid w:val="00CC23EC"/>
    <w:rsid w:val="00CC4F56"/>
    <w:rsid w:val="00CE0F5A"/>
    <w:rsid w:val="00D024EB"/>
    <w:rsid w:val="00D510D0"/>
    <w:rsid w:val="00D85664"/>
    <w:rsid w:val="00D8627E"/>
    <w:rsid w:val="00DB0816"/>
    <w:rsid w:val="00DB0DF7"/>
    <w:rsid w:val="00E17F46"/>
    <w:rsid w:val="00E91B9C"/>
    <w:rsid w:val="00EA22BE"/>
    <w:rsid w:val="00EA4D67"/>
    <w:rsid w:val="00EA4EFB"/>
    <w:rsid w:val="00EC226C"/>
    <w:rsid w:val="00EE005E"/>
    <w:rsid w:val="00F04D70"/>
    <w:rsid w:val="00F11D45"/>
    <w:rsid w:val="00F730E5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5541"/>
  <w15:chartTrackingRefBased/>
  <w15:docId w15:val="{FEF4D444-6E7C-4024-9D1F-73A83D8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AEB"/>
  </w:style>
  <w:style w:type="paragraph" w:styleId="Nagwek1">
    <w:name w:val="heading 1"/>
    <w:basedOn w:val="Normalny"/>
    <w:next w:val="Normalny"/>
    <w:link w:val="Nagwek1Znak"/>
    <w:qFormat/>
    <w:rsid w:val="005A0A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A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A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0AE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0A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C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E17F46"/>
    <w:pPr>
      <w:widowControl w:val="0"/>
      <w:autoSpaceDE w:val="0"/>
      <w:autoSpaceDN w:val="0"/>
      <w:spacing w:after="0" w:line="240" w:lineRule="auto"/>
      <w:ind w:left="122" w:firstLine="7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2</Pages>
  <Words>1786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30</cp:revision>
  <cp:lastPrinted>2022-02-02T10:06:00Z</cp:lastPrinted>
  <dcterms:created xsi:type="dcterms:W3CDTF">2018-04-18T06:14:00Z</dcterms:created>
  <dcterms:modified xsi:type="dcterms:W3CDTF">2022-02-02T10:09:00Z</dcterms:modified>
</cp:coreProperties>
</file>