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1418"/>
        <w:gridCol w:w="1559"/>
        <w:gridCol w:w="1134"/>
        <w:gridCol w:w="992"/>
        <w:gridCol w:w="3833"/>
      </w:tblGrid>
      <w:tr w:rsidR="0065474A" w14:paraId="06674334" w14:textId="77777777" w:rsidTr="005A7036">
        <w:trPr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67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418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992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33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A7036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727449E1" w:rsidR="00BC6BED" w:rsidRPr="00972DCE" w:rsidRDefault="00266E5F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187/20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10DD4F08" w:rsidR="0065474A" w:rsidRPr="008F4763" w:rsidRDefault="00445E3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367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45D2762E" w14:textId="1070A124" w:rsidR="0065474A" w:rsidRPr="009E6026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6BB9840A" w:rsidR="0065474A" w:rsidRPr="00972DCE" w:rsidRDefault="004D3D50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22.700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2DF50428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2.270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92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1A4873C" w14:textId="759EED0F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oraz powierzchnię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pośredniej strefie w 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północnej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 części miasta, przy ul. 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Kosynierów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3F0E66">
              <w:rPr>
                <w:rFonts w:ascii="Garamond" w:hAnsi="Garamond"/>
                <w:b w:val="0"/>
                <w:sz w:val="16"/>
                <w:szCs w:val="16"/>
              </w:rPr>
              <w:t xml:space="preserve">Teren 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nieruchomości częściowo ogrodzony – tylko od działek sąsiednich, porośnięty pozostałościami drzew owocowych oraz trawą i chwastami.</w:t>
            </w:r>
          </w:p>
        </w:tc>
      </w:tr>
      <w:tr w:rsidR="003F0E66" w14:paraId="3BBD6412" w14:textId="77777777" w:rsidTr="005A7036">
        <w:trPr>
          <w:jc w:val="center"/>
        </w:trPr>
        <w:tc>
          <w:tcPr>
            <w:tcW w:w="421" w:type="dxa"/>
            <w:vAlign w:val="center"/>
          </w:tcPr>
          <w:p w14:paraId="2A40D66C" w14:textId="26C18CE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0DE66E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5F1E616A" w14:textId="77777777" w:rsidR="003F0E66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B8C13DF" w14:textId="14A93E2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46/26</w:t>
            </w:r>
          </w:p>
          <w:p w14:paraId="37E32F3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146EB21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2197760D" w14:textId="77777777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A988A1E" w14:textId="06BA9DDB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586</w:t>
            </w:r>
          </w:p>
          <w:p w14:paraId="75B319C8" w14:textId="58F77FFB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72F11067" w14:textId="2A0A1014" w:rsidR="003F0E66" w:rsidRDefault="003F0E66" w:rsidP="003F0E66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7A384D"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105689D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78B377C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2DC71D5" w14:textId="0E41F0C8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25.800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2E07AD6E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250F3E4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951F83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EE6DA87" w14:textId="3FB75F9E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445E3E">
              <w:rPr>
                <w:rFonts w:ascii="Garamond" w:hAnsi="Garamond"/>
                <w:b w:val="0"/>
                <w:sz w:val="20"/>
                <w:szCs w:val="20"/>
              </w:rPr>
              <w:t>2.580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54D4CAD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A434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46D423FB" w14:textId="77777777" w:rsidR="003F0E66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53753391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52482448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0276518E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3833" w:type="dxa"/>
            <w:vAlign w:val="center"/>
          </w:tcPr>
          <w:p w14:paraId="102377F3" w14:textId="0E81D8C9" w:rsidR="003F0E66" w:rsidRDefault="003F0E66" w:rsidP="003F0E6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 (brak dostępu do drogi publicznej), może natomiast być wykorzystywana przez właścicieli nieruchomości przyległych,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Nieruchomość znajduje się </w:t>
            </w:r>
            <w:r w:rsidR="00082B2D">
              <w:rPr>
                <w:rFonts w:ascii="Garamond" w:hAnsi="Garamond"/>
                <w:b w:val="0"/>
                <w:sz w:val="16"/>
                <w:szCs w:val="16"/>
              </w:rPr>
              <w:t xml:space="preserve">w północnej 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>peryferyjnej</w:t>
            </w:r>
            <w:r w:rsidR="00082B2D">
              <w:rPr>
                <w:rFonts w:ascii="Garamond" w:hAnsi="Garamond"/>
                <w:b w:val="0"/>
                <w:sz w:val="16"/>
                <w:szCs w:val="16"/>
              </w:rPr>
              <w:t xml:space="preserve"> części miasta przy ul. 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>Generała Bema</w:t>
            </w:r>
            <w:r w:rsidR="00082B2D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>Teren nieruchomości częściowo ogrodzony – tylko od nieruchomości sąsiednich</w:t>
            </w:r>
            <w:r w:rsidR="00CD19A9">
              <w:rPr>
                <w:rFonts w:ascii="Garamond" w:hAnsi="Garamond"/>
                <w:b w:val="0"/>
                <w:sz w:val="16"/>
                <w:szCs w:val="16"/>
              </w:rPr>
              <w:t>, porośnięty pozostałościami drzew owocowych oraz samosiejkami drzew liściastych i iglastych.</w:t>
            </w:r>
          </w:p>
        </w:tc>
      </w:tr>
    </w:tbl>
    <w:p w14:paraId="1CE5615F" w14:textId="77777777" w:rsidR="0065474A" w:rsidRDefault="0065474A" w:rsidP="00836740">
      <w:pPr>
        <w:pStyle w:val="Tekstpodstawowy"/>
        <w:ind w:left="-567"/>
        <w:jc w:val="both"/>
        <w:rPr>
          <w:rFonts w:ascii="Garamond" w:hAnsi="Garamond"/>
        </w:rPr>
      </w:pPr>
    </w:p>
    <w:p w14:paraId="1A5093A8" w14:textId="5FE749C3" w:rsidR="00836740" w:rsidRDefault="00266E5F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Poz. 1 </w:t>
      </w:r>
      <w:r w:rsidR="0065474A"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5DD28185" w:rsidR="00836740" w:rsidRPr="00836740" w:rsidRDefault="00836740" w:rsidP="0083674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445E3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09282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445E3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2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7D7970AB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445E3E">
        <w:rPr>
          <w:rFonts w:ascii="Garamond" w:hAnsi="Garamond"/>
          <w:sz w:val="16"/>
          <w:szCs w:val="16"/>
        </w:rPr>
        <w:t>185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445E3E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3B00B465" w14:textId="4B78D0B5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445E3E">
        <w:rPr>
          <w:rFonts w:ascii="Garamond" w:hAnsi="Garamond"/>
          <w:sz w:val="16"/>
          <w:szCs w:val="16"/>
        </w:rPr>
        <w:t>186</w:t>
      </w:r>
      <w:r>
        <w:rPr>
          <w:rFonts w:ascii="Garamond" w:hAnsi="Garamond"/>
          <w:sz w:val="16"/>
          <w:szCs w:val="16"/>
        </w:rPr>
        <w:t xml:space="preserve"> obręb </w:t>
      </w:r>
      <w:r w:rsidR="00445E3E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</w:t>
      </w:r>
      <w:r w:rsidR="003F0E66">
        <w:rPr>
          <w:rFonts w:ascii="Garamond" w:hAnsi="Garamond"/>
          <w:sz w:val="16"/>
          <w:szCs w:val="16"/>
        </w:rPr>
        <w:t>.</w:t>
      </w:r>
    </w:p>
    <w:p w14:paraId="1600F7A4" w14:textId="24B8E761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Poz. </w:t>
      </w:r>
      <w:r w:rsidR="007A384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3E28F910" w14:textId="2DDE6323" w:rsidR="003F0E66" w:rsidRPr="00836740" w:rsidRDefault="003F0E66" w:rsidP="003F0E66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445E3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12826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445E3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2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44E7B447" w14:textId="77777777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>
        <w:rPr>
          <w:rFonts w:ascii="Garamond" w:hAnsi="Garamond"/>
          <w:sz w:val="16"/>
          <w:szCs w:val="16"/>
        </w:rPr>
        <w:t>, tj.:</w:t>
      </w:r>
    </w:p>
    <w:p w14:paraId="07FBDCFD" w14:textId="379510B1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445E3E">
        <w:rPr>
          <w:rFonts w:ascii="Garamond" w:hAnsi="Garamond"/>
          <w:sz w:val="16"/>
          <w:szCs w:val="16"/>
        </w:rPr>
        <w:t>4</w:t>
      </w:r>
      <w:r w:rsidR="004358F8">
        <w:rPr>
          <w:rFonts w:ascii="Garamond" w:hAnsi="Garamond"/>
          <w:sz w:val="16"/>
          <w:szCs w:val="16"/>
        </w:rPr>
        <w:t>4</w:t>
      </w:r>
      <w:r w:rsidR="00445E3E">
        <w:rPr>
          <w:rFonts w:ascii="Garamond" w:hAnsi="Garamond"/>
          <w:sz w:val="16"/>
          <w:szCs w:val="16"/>
        </w:rPr>
        <w:t>/1 i 4</w:t>
      </w:r>
      <w:r w:rsidR="004358F8">
        <w:rPr>
          <w:rFonts w:ascii="Garamond" w:hAnsi="Garamond"/>
          <w:sz w:val="16"/>
          <w:szCs w:val="16"/>
        </w:rPr>
        <w:t>6</w:t>
      </w:r>
      <w:r w:rsidR="00445E3E">
        <w:rPr>
          <w:rFonts w:ascii="Garamond" w:hAnsi="Garamond"/>
          <w:sz w:val="16"/>
          <w:szCs w:val="16"/>
        </w:rPr>
        <w:t>/25</w:t>
      </w:r>
      <w:r>
        <w:rPr>
          <w:rFonts w:ascii="Garamond" w:hAnsi="Garamond"/>
          <w:sz w:val="16"/>
          <w:szCs w:val="16"/>
        </w:rPr>
        <w:t xml:space="preserve"> obręb </w:t>
      </w:r>
      <w:r w:rsidR="007A384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64599D8A" w14:textId="7792EBEE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445E3E">
        <w:rPr>
          <w:rFonts w:ascii="Garamond" w:hAnsi="Garamond"/>
          <w:sz w:val="16"/>
          <w:szCs w:val="16"/>
        </w:rPr>
        <w:t>45/1</w:t>
      </w:r>
      <w:r>
        <w:rPr>
          <w:rFonts w:ascii="Garamond" w:hAnsi="Garamond"/>
          <w:sz w:val="16"/>
          <w:szCs w:val="16"/>
        </w:rPr>
        <w:t xml:space="preserve"> obręb </w:t>
      </w:r>
      <w:r w:rsidR="007A384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</w:t>
      </w:r>
      <w:r w:rsidR="00445E3E">
        <w:rPr>
          <w:rFonts w:ascii="Garamond" w:hAnsi="Garamond"/>
          <w:sz w:val="16"/>
          <w:szCs w:val="16"/>
        </w:rPr>
        <w:t>,</w:t>
      </w:r>
    </w:p>
    <w:p w14:paraId="7DD7742A" w14:textId="4F1CE289" w:rsidR="00445E3E" w:rsidRDefault="00445E3E" w:rsidP="00445E3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4</w:t>
      </w:r>
      <w:r w:rsidR="004358F8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>/</w:t>
      </w:r>
      <w:r w:rsidR="004358F8">
        <w:rPr>
          <w:rFonts w:ascii="Garamond" w:hAnsi="Garamond"/>
          <w:sz w:val="16"/>
          <w:szCs w:val="16"/>
        </w:rPr>
        <w:t>5</w:t>
      </w:r>
      <w:r>
        <w:rPr>
          <w:rFonts w:ascii="Garamond" w:hAnsi="Garamond"/>
          <w:sz w:val="16"/>
          <w:szCs w:val="16"/>
        </w:rPr>
        <w:t xml:space="preserve"> obręb 2 m. Gubina,</w:t>
      </w:r>
    </w:p>
    <w:p w14:paraId="721D34AE" w14:textId="6C7E8F74" w:rsidR="00B90FCE" w:rsidRDefault="00B6541F" w:rsidP="00B6541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46/22 obręb 2 m. Gubina.</w:t>
      </w:r>
    </w:p>
    <w:p w14:paraId="5F2829AB" w14:textId="74AB67ED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B6541F">
        <w:rPr>
          <w:rFonts w:ascii="Garamond" w:hAnsi="Garamond"/>
          <w:sz w:val="16"/>
          <w:szCs w:val="16"/>
          <w:u w:val="single"/>
        </w:rPr>
        <w:t>25 sierpnia</w:t>
      </w:r>
      <w:r w:rsidR="00EE005E" w:rsidRPr="00B90FCE">
        <w:rPr>
          <w:rFonts w:ascii="Garamond" w:hAnsi="Garamond"/>
          <w:sz w:val="16"/>
          <w:szCs w:val="16"/>
          <w:u w:val="single"/>
        </w:rPr>
        <w:t xml:space="preserve"> 2022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B6541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120E8B2B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B6541F">
        <w:rPr>
          <w:rFonts w:ascii="Garamond" w:hAnsi="Garamond"/>
          <w:sz w:val="16"/>
          <w:szCs w:val="16"/>
        </w:rPr>
        <w:t>22 sierpnia</w:t>
      </w:r>
      <w:r w:rsidR="00EE005E">
        <w:rPr>
          <w:rFonts w:ascii="Garamond" w:hAnsi="Garamond"/>
          <w:sz w:val="16"/>
          <w:szCs w:val="16"/>
        </w:rPr>
        <w:t xml:space="preserve"> </w:t>
      </w:r>
      <w:r w:rsidR="00AB02F1">
        <w:rPr>
          <w:rFonts w:ascii="Garamond" w:hAnsi="Garamond"/>
          <w:sz w:val="16"/>
          <w:szCs w:val="16"/>
        </w:rPr>
        <w:t>202</w:t>
      </w:r>
      <w:r w:rsidR="00EE005E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7BCDD58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B6541F">
        <w:rPr>
          <w:rFonts w:ascii="Garamond" w:hAnsi="Garamond"/>
          <w:bCs w:val="0"/>
          <w:sz w:val="16"/>
          <w:szCs w:val="16"/>
          <w:u w:val="single"/>
        </w:rPr>
        <w:t>22 sierpnia</w:t>
      </w:r>
      <w:r w:rsidR="00EE005E">
        <w:rPr>
          <w:rFonts w:ascii="Garamond" w:hAnsi="Garamond"/>
          <w:bCs w:val="0"/>
          <w:sz w:val="16"/>
          <w:szCs w:val="16"/>
          <w:u w:val="single"/>
        </w:rPr>
        <w:t xml:space="preserve"> 2022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</w:t>
      </w:r>
      <w:r w:rsidRPr="001F2413">
        <w:rPr>
          <w:rFonts w:ascii="Garamond" w:hAnsi="Garamond"/>
          <w:sz w:val="16"/>
          <w:szCs w:val="16"/>
        </w:rPr>
        <w:lastRenderedPageBreak/>
        <w:t>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05AA6F03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E69E0">
        <w:rPr>
          <w:rFonts w:ascii="Garamond" w:hAnsi="Garamond"/>
          <w:sz w:val="16"/>
          <w:szCs w:val="16"/>
        </w:rPr>
        <w:t>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</w:t>
      </w:r>
      <w:r w:rsidR="009E69E0">
        <w:rPr>
          <w:rFonts w:ascii="Garamond" w:hAnsi="Garamond"/>
          <w:sz w:val="16"/>
          <w:szCs w:val="16"/>
        </w:rPr>
        <w:t>899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6482DAEC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445E3E">
        <w:rPr>
          <w:rFonts w:ascii="Garamond" w:hAnsi="Garamond"/>
          <w:sz w:val="16"/>
          <w:szCs w:val="16"/>
        </w:rPr>
        <w:t>9 czerwca</w:t>
      </w:r>
      <w:r w:rsidR="00D024EB">
        <w:rPr>
          <w:rFonts w:ascii="Garamond" w:hAnsi="Garamond"/>
          <w:sz w:val="16"/>
          <w:szCs w:val="16"/>
        </w:rPr>
        <w:t xml:space="preserve"> 2022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F4D03"/>
    <w:rsid w:val="002230CB"/>
    <w:rsid w:val="0026194B"/>
    <w:rsid w:val="00266E5F"/>
    <w:rsid w:val="002C6709"/>
    <w:rsid w:val="0034364E"/>
    <w:rsid w:val="00387419"/>
    <w:rsid w:val="003F0E66"/>
    <w:rsid w:val="0043454D"/>
    <w:rsid w:val="004358F8"/>
    <w:rsid w:val="00445E3E"/>
    <w:rsid w:val="004A31D6"/>
    <w:rsid w:val="004D3D50"/>
    <w:rsid w:val="00511977"/>
    <w:rsid w:val="005430D1"/>
    <w:rsid w:val="00583318"/>
    <w:rsid w:val="005A0AEB"/>
    <w:rsid w:val="005A7036"/>
    <w:rsid w:val="005A760B"/>
    <w:rsid w:val="00635FBB"/>
    <w:rsid w:val="0065474A"/>
    <w:rsid w:val="00672E5D"/>
    <w:rsid w:val="006C59E9"/>
    <w:rsid w:val="0076391A"/>
    <w:rsid w:val="0076774E"/>
    <w:rsid w:val="007A384D"/>
    <w:rsid w:val="007C37EE"/>
    <w:rsid w:val="007E2551"/>
    <w:rsid w:val="007E29C8"/>
    <w:rsid w:val="008302A6"/>
    <w:rsid w:val="00836740"/>
    <w:rsid w:val="00867531"/>
    <w:rsid w:val="0089393F"/>
    <w:rsid w:val="008A1C2A"/>
    <w:rsid w:val="008F4763"/>
    <w:rsid w:val="009267D1"/>
    <w:rsid w:val="00935F7A"/>
    <w:rsid w:val="009E6026"/>
    <w:rsid w:val="009E69E0"/>
    <w:rsid w:val="00A13F58"/>
    <w:rsid w:val="00A538E8"/>
    <w:rsid w:val="00A64A53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95659"/>
    <w:rsid w:val="00CC23EC"/>
    <w:rsid w:val="00CC4F56"/>
    <w:rsid w:val="00CD19A9"/>
    <w:rsid w:val="00CE0F5A"/>
    <w:rsid w:val="00D024EB"/>
    <w:rsid w:val="00D510D0"/>
    <w:rsid w:val="00D85664"/>
    <w:rsid w:val="00D8627E"/>
    <w:rsid w:val="00DB0816"/>
    <w:rsid w:val="00DB0DF7"/>
    <w:rsid w:val="00E17F46"/>
    <w:rsid w:val="00E4563D"/>
    <w:rsid w:val="00E91B9C"/>
    <w:rsid w:val="00EA22BE"/>
    <w:rsid w:val="00EA4D67"/>
    <w:rsid w:val="00EA4EFB"/>
    <w:rsid w:val="00EC226C"/>
    <w:rsid w:val="00EE005E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34</cp:revision>
  <cp:lastPrinted>2022-06-03T07:13:00Z</cp:lastPrinted>
  <dcterms:created xsi:type="dcterms:W3CDTF">2018-04-18T06:14:00Z</dcterms:created>
  <dcterms:modified xsi:type="dcterms:W3CDTF">2022-06-03T07:20:00Z</dcterms:modified>
</cp:coreProperties>
</file>