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632" w:rsidRDefault="007A6632" w:rsidP="007A6632">
      <w:pPr>
        <w:spacing w:after="0" w:line="240" w:lineRule="auto"/>
        <w:ind w:right="685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1268095</wp:posOffset>
            </wp:positionH>
            <wp:positionV relativeFrom="paragraph">
              <wp:posOffset>121920</wp:posOffset>
            </wp:positionV>
            <wp:extent cx="788035" cy="669290"/>
            <wp:effectExtent l="0" t="0" r="0" b="0"/>
            <wp:wrapTight wrapText="bothSides">
              <wp:wrapPolygon edited="0">
                <wp:start x="0" y="0"/>
                <wp:lineTo x="0" y="20903"/>
                <wp:lineTo x="20886" y="20903"/>
                <wp:lineTo x="2088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632" w:rsidRDefault="007A6632" w:rsidP="007A663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7A6632" w:rsidRDefault="007A6632" w:rsidP="007A663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  <w:r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>BURMISTRZ MIASTA GUBINA OGŁASZA</w:t>
      </w:r>
    </w:p>
    <w:p w:rsidR="007A6632" w:rsidRDefault="007A6632" w:rsidP="007A6632">
      <w:pPr>
        <w:spacing w:after="0" w:line="240" w:lineRule="auto"/>
        <w:ind w:right="685"/>
        <w:jc w:val="both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36"/>
          <w:szCs w:val="36"/>
          <w:lang w:val="x-none" w:eastAsia="pl-PL"/>
        </w:rPr>
        <w:t xml:space="preserve">   </w:t>
      </w:r>
    </w:p>
    <w:p w:rsidR="007A6632" w:rsidRPr="00587050" w:rsidRDefault="007A6632" w:rsidP="00587050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 xml:space="preserve">I przetarg ustny nieograniczony 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na </w:t>
      </w:r>
      <w:r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sprzedaż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nieruchomości gruntow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ej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z przeznaczeniem pod budownictwo mieszkaniowe</w:t>
      </w:r>
      <w:r w:rsidR="0058705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oraz magazynowo - usługowe</w:t>
      </w:r>
    </w:p>
    <w:p w:rsidR="007A6632" w:rsidRDefault="007A6632" w:rsidP="00587050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</w:p>
    <w:tbl>
      <w:tblPr>
        <w:tblW w:w="15480" w:type="dxa"/>
        <w:tblInd w:w="-743" w:type="dxa"/>
        <w:tblLook w:val="04A0" w:firstRow="1" w:lastRow="0" w:firstColumn="1" w:lastColumn="0" w:noHBand="0" w:noVBand="1"/>
      </w:tblPr>
      <w:tblGrid>
        <w:gridCol w:w="507"/>
        <w:gridCol w:w="1411"/>
        <w:gridCol w:w="1416"/>
        <w:gridCol w:w="1695"/>
        <w:gridCol w:w="1556"/>
        <w:gridCol w:w="1414"/>
        <w:gridCol w:w="1974"/>
        <w:gridCol w:w="5507"/>
      </w:tblGrid>
      <w:tr w:rsidR="007A6632" w:rsidTr="007A6632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7A6632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Powierzchnia (m²)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632" w:rsidRDefault="007A663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:rsidR="007A6632" w:rsidRDefault="007A663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7A6632" w:rsidTr="00870EC2">
        <w:trPr>
          <w:trHeight w:val="1303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587050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392/7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B851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4443</w:t>
            </w:r>
            <w:r w:rsidR="007A6632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ul. </w:t>
            </w:r>
            <w:r w:rsidR="00D0059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Orla</w:t>
            </w:r>
            <w:bookmarkStart w:id="0" w:name="_GoBack"/>
            <w:bookmarkEnd w:id="0"/>
          </w:p>
          <w:p w:rsidR="007A6632" w:rsidRDefault="007A6632" w:rsidP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obręb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B851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196.000</w:t>
            </w:r>
            <w:r w:rsidR="007A6632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B851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19.600</w:t>
            </w:r>
            <w:r w:rsidR="007A6632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32" w:rsidRDefault="00586B29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Przedmiotowa działka położona jest</w:t>
            </w:r>
            <w:r w:rsidR="00B851D5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w peryferyjnej strefie miasta.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Ekspozycja</w:t>
            </w:r>
            <w:r w:rsidR="00B851D5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działki dobra,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lokalizacja </w:t>
            </w:r>
            <w:r w:rsidR="00B851D5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korzystna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. Na dzień oględzin dojazd drogą o nawierzchni utwardzonej</w:t>
            </w:r>
            <w:r w:rsidR="00B851D5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ul. Orla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. </w:t>
            </w:r>
            <w:r w:rsidR="00870EC2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Zachodnia granica przylega do ul. Orlej, granica wschodnia przylega do nieurządzonej projektowanej drogi dojazdowej, pozostałe granice przyległe do terenów niezabudowanych. Teren działki niezagospodarowany, z samosiejkami drzew liściastych, kształt działki regularny.</w:t>
            </w:r>
          </w:p>
          <w:p w:rsidR="007A6632" w:rsidRDefault="007A6632" w:rsidP="00B851D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Przedmiotowa działka powstała z podziału dz. nr </w:t>
            </w:r>
            <w:r w:rsidR="00B851D5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392/2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, dla części której została wydana decyzja o warunkach zabudowy nr GB</w:t>
            </w:r>
            <w:r w:rsidR="00B851D5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.6730.102.2016.W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z dnia </w:t>
            </w:r>
            <w:r w:rsidR="00B851D5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03.01.2017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r. </w:t>
            </w:r>
          </w:p>
        </w:tc>
      </w:tr>
    </w:tbl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18"/>
          <w:szCs w:val="18"/>
          <w:lang w:val="x-none" w:eastAsia="pl-PL"/>
        </w:rPr>
      </w:pP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Przetarg odbędzie się 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dnia </w:t>
      </w:r>
      <w:r w:rsidR="00587050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07 grudnia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 xml:space="preserve"> 2017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r. o godz. 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9: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>00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w pieniądzu, w wysokości 10% ceny wywoławczej, należy wpłacić najpóźniej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587050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04 grudnia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 xml:space="preserve"> 2017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 r.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 konto </w:t>
      </w:r>
      <w:r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PKO BP S.A. o/Zielona Góra nr  131020 5402 0000 0502 0027 8747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(w tytule wpłaty wskazać nieruchomość, której dotyczy).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 xml:space="preserve">. 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przystępujące do przetargu zobowiązane są do zapoznania się ze stanem faktycznym nieruchomości, będącej przedmiotem przetargu poprzez dokonanie oględzin terenu oraz do zapoznania się z dokumentacją formalno-prawną (w tym z dec</w:t>
      </w:r>
      <w:r w:rsidR="00B91272">
        <w:rPr>
          <w:rFonts w:ascii="Garamond" w:eastAsia="Times New Roman" w:hAnsi="Garamond" w:cs="Times New Roman"/>
          <w:sz w:val="20"/>
          <w:szCs w:val="20"/>
          <w:lang w:val="x-none" w:eastAsia="pl-PL"/>
        </w:rPr>
        <w:t>yzją o warunkach zabudowy nr GB</w:t>
      </w:r>
      <w:r w:rsidR="00B851D5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.6730.102.2016.W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z dnia </w:t>
      </w:r>
      <w:r w:rsidR="00B851D5">
        <w:rPr>
          <w:rFonts w:ascii="Garamond" w:eastAsia="Times New Roman" w:hAnsi="Garamond" w:cs="Times New Roman"/>
          <w:sz w:val="20"/>
          <w:szCs w:val="20"/>
          <w:lang w:eastAsia="pl-PL"/>
        </w:rPr>
        <w:t>03.01.2017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.). Zagospodarowanie terenu nastąpi na podstawie szczegółowych warunków, które zostaną określone na wniosek nabywcy w decyzji o warunkach zabudowy.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7A6632" w:rsidRDefault="007A6632" w:rsidP="007A6632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 xml:space="preserve">  </w:t>
      </w:r>
      <w:r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 xml:space="preserve">I przetarg ustny nieograniczony 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na </w:t>
      </w:r>
      <w:r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sprzedaż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nieruchomości gruntow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ej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z przeznaczeniem pod budownictwo mieszka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niowe</w:t>
      </w:r>
    </w:p>
    <w:p w:rsidR="007A6632" w:rsidRDefault="007A6632" w:rsidP="007A6632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15480" w:type="dxa"/>
        <w:tblInd w:w="-743" w:type="dxa"/>
        <w:tblLook w:val="04A0" w:firstRow="1" w:lastRow="0" w:firstColumn="1" w:lastColumn="0" w:noHBand="0" w:noVBand="1"/>
      </w:tblPr>
      <w:tblGrid>
        <w:gridCol w:w="507"/>
        <w:gridCol w:w="1411"/>
        <w:gridCol w:w="1416"/>
        <w:gridCol w:w="1695"/>
        <w:gridCol w:w="1556"/>
        <w:gridCol w:w="1414"/>
        <w:gridCol w:w="1974"/>
        <w:gridCol w:w="5507"/>
      </w:tblGrid>
      <w:tr w:rsidR="007A6632" w:rsidTr="007A6632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7A6632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Powierzchnia (m²)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632" w:rsidRDefault="007A663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:rsidR="007A6632" w:rsidRDefault="007A663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870EC2" w:rsidTr="002F4877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0EC2" w:rsidRPr="00450F58" w:rsidRDefault="00870EC2" w:rsidP="00870EC2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 w:rsidRPr="00450F58">
              <w:rPr>
                <w:rFonts w:ascii="Garamond" w:hAnsi="Garamond"/>
                <w:b w:val="0"/>
                <w:sz w:val="20"/>
                <w:szCs w:val="20"/>
                <w:lang w:val="pl-PL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0EC2" w:rsidRPr="00450F58" w:rsidRDefault="00870EC2" w:rsidP="00870EC2">
            <w:pPr>
              <w:pStyle w:val="Tekstpodstawowy"/>
              <w:ind w:left="33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 w:rsidRPr="00450F58">
              <w:rPr>
                <w:rFonts w:ascii="Garamond" w:hAnsi="Garamond"/>
                <w:b w:val="0"/>
                <w:sz w:val="20"/>
                <w:szCs w:val="20"/>
                <w:lang w:val="pl-PL"/>
              </w:rPr>
              <w:t>41/13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0EC2" w:rsidRPr="00450F58" w:rsidRDefault="00870EC2" w:rsidP="00870EC2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 w:rsidRPr="00450F58">
              <w:rPr>
                <w:rFonts w:ascii="Garamond" w:hAnsi="Garamond"/>
                <w:b w:val="0"/>
                <w:sz w:val="20"/>
                <w:szCs w:val="20"/>
                <w:lang w:val="pl-PL"/>
              </w:rPr>
              <w:t>1153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0EC2" w:rsidRPr="00450F58" w:rsidRDefault="00870EC2" w:rsidP="00870EC2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 w:rsidRPr="00450F58">
              <w:rPr>
                <w:rFonts w:ascii="Garamond" w:hAnsi="Garamond"/>
                <w:b w:val="0"/>
                <w:sz w:val="20"/>
                <w:szCs w:val="20"/>
                <w:lang w:val="pl-PL"/>
              </w:rPr>
              <w:t>ul. Długa</w:t>
            </w:r>
          </w:p>
          <w:p w:rsidR="00870EC2" w:rsidRPr="00450F58" w:rsidRDefault="00870EC2" w:rsidP="00870EC2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 w:rsidRPr="00450F58">
              <w:rPr>
                <w:rFonts w:ascii="Garamond" w:hAnsi="Garamond"/>
                <w:b w:val="0"/>
                <w:sz w:val="20"/>
                <w:szCs w:val="20"/>
                <w:lang w:val="pl-PL"/>
              </w:rPr>
              <w:t>obręb 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0EC2" w:rsidRPr="00450F58" w:rsidRDefault="00870EC2" w:rsidP="00870EC2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b w:val="0"/>
                <w:sz w:val="20"/>
                <w:szCs w:val="20"/>
                <w:lang w:val="pl-PL"/>
              </w:rPr>
              <w:t>42.200</w:t>
            </w:r>
            <w:r w:rsidRPr="00450F58">
              <w:rPr>
                <w:rFonts w:ascii="Garamond" w:hAnsi="Garamond"/>
                <w:b w:val="0"/>
                <w:sz w:val="20"/>
                <w:szCs w:val="20"/>
                <w:lang w:val="pl-PL"/>
              </w:rPr>
              <w:t>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0EC2" w:rsidRPr="00450F58" w:rsidRDefault="00870EC2" w:rsidP="00870EC2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b w:val="0"/>
                <w:sz w:val="20"/>
                <w:szCs w:val="20"/>
                <w:lang w:val="pl-PL"/>
              </w:rPr>
              <w:t>4.220</w:t>
            </w:r>
            <w:r w:rsidRPr="00450F58">
              <w:rPr>
                <w:rFonts w:ascii="Garamond" w:hAnsi="Garamond"/>
                <w:b w:val="0"/>
                <w:sz w:val="20"/>
                <w:szCs w:val="20"/>
                <w:lang w:val="pl-PL"/>
              </w:rPr>
              <w:t>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EC2" w:rsidRPr="00450F58" w:rsidRDefault="00870EC2" w:rsidP="00870EC2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bCs w:val="0"/>
                <w:sz w:val="20"/>
                <w:szCs w:val="20"/>
              </w:rPr>
              <w:t>--------------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EC2" w:rsidRPr="00A21779" w:rsidRDefault="00870EC2" w:rsidP="001D72CF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  <w:lang w:val="pl-PL"/>
              </w:rPr>
            </w:pPr>
            <w:r w:rsidRPr="00A21779">
              <w:rPr>
                <w:rFonts w:ascii="Garamond" w:hAnsi="Garamond"/>
                <w:b w:val="0"/>
                <w:sz w:val="16"/>
                <w:szCs w:val="16"/>
                <w:lang w:val="pl-PL"/>
              </w:rPr>
              <w:t xml:space="preserve">Przedmiotowa działka położona </w:t>
            </w:r>
            <w:r>
              <w:rPr>
                <w:rFonts w:ascii="Garamond" w:hAnsi="Garamond"/>
                <w:b w:val="0"/>
                <w:sz w:val="16"/>
                <w:szCs w:val="16"/>
                <w:lang w:val="pl-PL"/>
              </w:rPr>
              <w:t xml:space="preserve">jest w strefie peryferyjnej miasta. Dojazd do nieruchomości odbywa się drogą gruntową – ulica Długa. Kształt działki wielobok zbliżony do trójkąta. Teren nieruchomości lekko pochylony w kierunku północnym, porośnięty trawą, nieogrodzony i niezagospodarowany. Działka leży w zasięgu sieci: wodociągowej i elektroenergetycznej. </w:t>
            </w:r>
            <w:r w:rsidR="001D72CF" w:rsidRPr="001D72CF">
              <w:rPr>
                <w:rFonts w:ascii="Garamond" w:hAnsi="Garamond"/>
                <w:b w:val="0"/>
                <w:sz w:val="16"/>
                <w:szCs w:val="16"/>
              </w:rPr>
              <w:t xml:space="preserve">Przedmiotowa działka powstała z podziału dz. nr </w:t>
            </w:r>
            <w:r w:rsidR="001D72CF">
              <w:rPr>
                <w:rFonts w:ascii="Garamond" w:hAnsi="Garamond"/>
                <w:b w:val="0"/>
                <w:bCs w:val="0"/>
                <w:sz w:val="16"/>
                <w:szCs w:val="16"/>
              </w:rPr>
              <w:t>41/2.</w:t>
            </w:r>
          </w:p>
        </w:tc>
      </w:tr>
      <w:tr w:rsidR="00870EC2" w:rsidTr="002F4877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0EC2" w:rsidRPr="00450F58" w:rsidRDefault="00870EC2" w:rsidP="00870EC2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 w:rsidRPr="00450F58">
              <w:rPr>
                <w:rFonts w:ascii="Garamond" w:hAnsi="Garamond"/>
                <w:b w:val="0"/>
                <w:sz w:val="20"/>
                <w:szCs w:val="20"/>
                <w:lang w:val="pl-PL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0EC2" w:rsidRPr="00450F58" w:rsidRDefault="00870EC2" w:rsidP="00870EC2">
            <w:pPr>
              <w:pStyle w:val="Tekstpodstawowy"/>
              <w:ind w:left="33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 w:rsidRPr="00450F58">
              <w:rPr>
                <w:rFonts w:ascii="Garamond" w:hAnsi="Garamond"/>
                <w:b w:val="0"/>
                <w:sz w:val="20"/>
                <w:szCs w:val="20"/>
                <w:lang w:val="pl-PL"/>
              </w:rPr>
              <w:t>41/15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0EC2" w:rsidRPr="00450F58" w:rsidRDefault="00870EC2" w:rsidP="00870EC2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 w:rsidRPr="00450F58">
              <w:rPr>
                <w:rFonts w:ascii="Garamond" w:hAnsi="Garamond"/>
                <w:b w:val="0"/>
                <w:sz w:val="20"/>
                <w:szCs w:val="20"/>
                <w:lang w:val="pl-PL"/>
              </w:rPr>
              <w:t>1106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0EC2" w:rsidRPr="00450F58" w:rsidRDefault="00870EC2" w:rsidP="00870EC2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 w:rsidRPr="00450F58">
              <w:rPr>
                <w:rFonts w:ascii="Garamond" w:hAnsi="Garamond"/>
                <w:b w:val="0"/>
                <w:sz w:val="20"/>
                <w:szCs w:val="20"/>
                <w:lang w:val="pl-PL"/>
              </w:rPr>
              <w:t>ul. Długa</w:t>
            </w:r>
          </w:p>
          <w:p w:rsidR="00870EC2" w:rsidRPr="00450F58" w:rsidRDefault="00870EC2" w:rsidP="00870EC2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 w:rsidRPr="00450F58">
              <w:rPr>
                <w:rFonts w:ascii="Garamond" w:hAnsi="Garamond"/>
                <w:b w:val="0"/>
                <w:sz w:val="20"/>
                <w:szCs w:val="20"/>
                <w:lang w:val="pl-PL"/>
              </w:rPr>
              <w:t>obręb 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0EC2" w:rsidRPr="00450F58" w:rsidRDefault="00870EC2" w:rsidP="00870EC2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b w:val="0"/>
                <w:sz w:val="20"/>
                <w:szCs w:val="20"/>
                <w:lang w:val="pl-PL"/>
              </w:rPr>
              <w:t>43.300</w:t>
            </w:r>
            <w:r w:rsidRPr="00450F58">
              <w:rPr>
                <w:rFonts w:ascii="Garamond" w:hAnsi="Garamond"/>
                <w:b w:val="0"/>
                <w:sz w:val="20"/>
                <w:szCs w:val="20"/>
                <w:lang w:val="pl-PL"/>
              </w:rPr>
              <w:t>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0EC2" w:rsidRPr="00450F58" w:rsidRDefault="00870EC2" w:rsidP="00870EC2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b w:val="0"/>
                <w:sz w:val="20"/>
                <w:szCs w:val="20"/>
                <w:lang w:val="pl-PL"/>
              </w:rPr>
              <w:t>4.330</w:t>
            </w:r>
            <w:r w:rsidRPr="00450F58">
              <w:rPr>
                <w:rFonts w:ascii="Garamond" w:hAnsi="Garamond"/>
                <w:b w:val="0"/>
                <w:sz w:val="20"/>
                <w:szCs w:val="20"/>
                <w:lang w:val="pl-PL"/>
              </w:rPr>
              <w:t>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EC2" w:rsidRPr="00450F58" w:rsidRDefault="00870EC2" w:rsidP="00870EC2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bCs w:val="0"/>
                <w:sz w:val="20"/>
                <w:szCs w:val="20"/>
              </w:rPr>
              <w:t>--------------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EC2" w:rsidRPr="00A21779" w:rsidRDefault="00870EC2" w:rsidP="001D72CF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  <w:lang w:val="pl-PL"/>
              </w:rPr>
            </w:pPr>
            <w:r w:rsidRPr="00A21779">
              <w:rPr>
                <w:rFonts w:ascii="Garamond" w:hAnsi="Garamond"/>
                <w:b w:val="0"/>
                <w:sz w:val="16"/>
                <w:szCs w:val="16"/>
                <w:lang w:val="pl-PL"/>
              </w:rPr>
              <w:t xml:space="preserve">Przedmiotowa działka położona </w:t>
            </w:r>
            <w:r>
              <w:rPr>
                <w:rFonts w:ascii="Garamond" w:hAnsi="Garamond"/>
                <w:b w:val="0"/>
                <w:sz w:val="16"/>
                <w:szCs w:val="16"/>
                <w:lang w:val="pl-PL"/>
              </w:rPr>
              <w:t xml:space="preserve">jest w strefie peryferyjnej miasta. Dojazd do nieruchomości odbywa się drogą gruntową – ulica Długa. Kształt działki prostokąt, teren płaski, porośnięty trawą.. Działka leży w zasięgu sieci: wodociągowej i elektroenergetycznej. Na dzień oględzin  działka nieogrodzona i niezagospodarowana, na działce stoi słup energetyczny i przebiega napowietrzna linia energetyczna. </w:t>
            </w:r>
            <w:r w:rsidR="001D72CF" w:rsidRPr="001D72CF">
              <w:rPr>
                <w:rFonts w:ascii="Garamond" w:hAnsi="Garamond"/>
                <w:b w:val="0"/>
                <w:sz w:val="16"/>
                <w:szCs w:val="16"/>
              </w:rPr>
              <w:t xml:space="preserve">Przedmiotowa działka powstała z podziału dz. nr </w:t>
            </w:r>
            <w:r w:rsidR="001D72CF">
              <w:rPr>
                <w:rFonts w:ascii="Garamond" w:hAnsi="Garamond"/>
                <w:b w:val="0"/>
                <w:bCs w:val="0"/>
                <w:sz w:val="16"/>
                <w:szCs w:val="16"/>
              </w:rPr>
              <w:t>41/2.</w:t>
            </w:r>
          </w:p>
        </w:tc>
      </w:tr>
    </w:tbl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18"/>
          <w:szCs w:val="18"/>
          <w:lang w:val="x-none" w:eastAsia="pl-PL"/>
        </w:rPr>
      </w:pP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Przetarg odbędzie się 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dnia </w:t>
      </w:r>
      <w:r w:rsidR="00587050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07 grudnia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 xml:space="preserve"> 2017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r. o godz. 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10: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>00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w pieniądzu, w wysokości 10% ceny wywoławczej, należy wpłacić najpóźniej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587050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04 grudnia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 xml:space="preserve"> 2017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 r.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 konto </w:t>
      </w:r>
      <w:r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PKO BP S.A. o/Zielona Góra nr  131020 5402 0000 0502 0027 8747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(w tytule wpłaty wskazać nieruchomość, której dotyczy).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 xml:space="preserve">. 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przystępujące do przetargu zobowiązane są do zapoznania się ze stanem faktycznym nieruchomości, będącej przedmiotem przetargu poprzez dokonanie oględzin terenu oraz do zapoznania się z dokumentacją formalno-prawną (w tym z decyzją o warunkach zabudowy nr GB.6730.</w:t>
      </w:r>
      <w:r w:rsidR="001D72CF">
        <w:rPr>
          <w:rFonts w:ascii="Garamond" w:eastAsia="Times New Roman" w:hAnsi="Garamond" w:cs="Times New Roman"/>
          <w:sz w:val="20"/>
          <w:szCs w:val="20"/>
          <w:lang w:eastAsia="pl-PL"/>
        </w:rPr>
        <w:t>83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.201</w:t>
      </w:r>
      <w:r w:rsidR="003A5B89">
        <w:rPr>
          <w:rFonts w:ascii="Garamond" w:eastAsia="Times New Roman" w:hAnsi="Garamond" w:cs="Times New Roman"/>
          <w:sz w:val="20"/>
          <w:szCs w:val="20"/>
          <w:lang w:eastAsia="pl-PL"/>
        </w:rPr>
        <w:t>4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.W z dnia </w:t>
      </w:r>
      <w:r w:rsidR="001D72CF">
        <w:rPr>
          <w:rFonts w:ascii="Garamond" w:eastAsia="Times New Roman" w:hAnsi="Garamond" w:cs="Times New Roman"/>
          <w:sz w:val="20"/>
          <w:szCs w:val="20"/>
          <w:lang w:eastAsia="pl-PL"/>
        </w:rPr>
        <w:t>20.10.2014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.). Zagospodarowanie terenu nastąpi na podstawie szczegółowych warunków, które zostaną określone na wniosek nabywcy w decyzji o warunkach zabudowy.</w:t>
      </w:r>
    </w:p>
    <w:p w:rsidR="007A6632" w:rsidRDefault="007A6632" w:rsidP="007A6632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</w:p>
    <w:p w:rsidR="007A6632" w:rsidRDefault="007A6632" w:rsidP="007A6632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 xml:space="preserve">I przetarg ustny nieograniczony 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na </w:t>
      </w:r>
      <w:r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oddanie w użytkowanie wieczyste 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>nieruchomości gruntow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ych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z przeznaczeniem pod budownictwo mieszka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niowe</w:t>
      </w:r>
      <w:r w:rsidR="00FC3799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z dopuszczeniem funkcji usługowej</w:t>
      </w:r>
    </w:p>
    <w:p w:rsidR="007A6632" w:rsidRDefault="007A6632" w:rsidP="007A6632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15480" w:type="dxa"/>
        <w:tblInd w:w="-743" w:type="dxa"/>
        <w:tblLook w:val="04A0" w:firstRow="1" w:lastRow="0" w:firstColumn="1" w:lastColumn="0" w:noHBand="0" w:noVBand="1"/>
      </w:tblPr>
      <w:tblGrid>
        <w:gridCol w:w="507"/>
        <w:gridCol w:w="1411"/>
        <w:gridCol w:w="1416"/>
        <w:gridCol w:w="1695"/>
        <w:gridCol w:w="1556"/>
        <w:gridCol w:w="1414"/>
        <w:gridCol w:w="1974"/>
        <w:gridCol w:w="5507"/>
      </w:tblGrid>
      <w:tr w:rsidR="007A6632" w:rsidTr="007A6632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7A6632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Powierzchnia (m²)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632" w:rsidRDefault="007A663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:rsidR="007A6632" w:rsidRDefault="007A663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7A6632" w:rsidTr="007A6632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FC37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FC3799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161/35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FC37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1705</w:t>
            </w:r>
            <w:r w:rsidR="007A6632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ul. </w:t>
            </w:r>
            <w:r w:rsidR="00FC379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Generała Sikorskiego</w:t>
            </w:r>
          </w:p>
          <w:p w:rsidR="007A6632" w:rsidRDefault="007A6632" w:rsidP="00FC37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obręb </w:t>
            </w:r>
            <w:r w:rsidR="00FC379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FC37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92.800</w:t>
            </w:r>
            <w:r w:rsidR="007A6632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FC37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9.280</w:t>
            </w:r>
            <w:r w:rsidR="007A6632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32" w:rsidRDefault="00FC3799" w:rsidP="009F2AE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Przedmiotowa działka położona jest w północnej części miasta, w sąsiedztwie zabudowy mieszkaniowej i terenów przeznaczonych pod zabudowę mieszkaniową. Działka zwrócona frontem w kierunku wschodnim, granica północna teren niezagospodarowany – wjazd nieutwardzony do garaży na działce nr 171, granica zachodnia – tereny niezabudowane (ogrody), granica południowa – tereny zabudowane (budynek mieszkalny). Teren działki stanowi teren zielony, z pojedynczymi drzewami owocowymi i samosiejkami drzew liściastych – brzoza, topola oraz krzewów bzu. Kształt działki regularny z ograniczeniami w możliwości zabudowy </w:t>
            </w:r>
            <w:r w:rsidR="00D54CB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–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D54CB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w centralnej części działki linia energetyczna niskiego napięcia – słup. Wzdłuż wschodniej granicy działki przebiega sieć kanalizacyjna (K-200), na działce znajduje się studzienka kanalizacyjna. </w:t>
            </w:r>
            <w:r w:rsidR="009F2AE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W części zachodniej znajdują się pozostałości starego ogrodzenia. </w:t>
            </w:r>
            <w:r w:rsidR="00D54CB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Poprzez teren </w:t>
            </w:r>
            <w:r w:rsidR="009F2AE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nieruchomości</w:t>
            </w:r>
            <w:r w:rsidR="00D54CB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na dzień oględzin realizowany dojazd do nieruchomości zabudowanej oznaczonej nr porządkowym Gen. Sikorskiego 79 oraz do garaży na działce oznaczonej nr ewidencyjnym 171 – wjazd nieutwardzony. Działka o spadku terenu w kierunku zachodnim. Nieruchomość objęta miejscowym planem zagospodarowania przestrzennego terenu położonego w obrębie ulic Spokojnej, Sikorskiego, 1-go Maja i Kosynierów – jednostka rejestrowa oznaczona symbolem MN-U (teren zabudowy mieszkaniowej jednorodzinnej z dopuszczeniem funkcji usługowej).</w:t>
            </w:r>
          </w:p>
        </w:tc>
      </w:tr>
    </w:tbl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Przetarg odbędzie się 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dnia </w:t>
      </w:r>
      <w:r w:rsidR="00587050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07 grudnia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 xml:space="preserve"> 2017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r. o godz. 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11: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>00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w pieniądzu, w wysokości 10% ceny wywoławczej, należy wpłacić najpóźniej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587050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04 grudnia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 xml:space="preserve"> 2017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 r.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 konto </w:t>
      </w:r>
      <w:r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PKO BP S.A. o/Zielona Góra nr  131020 5402 0000 0502 0027 8747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(w tytule wpłaty wskazać nieruchomość, której dotyczy).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 xml:space="preserve">. 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D54CB3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przystępujące do przetargu zobowiązane są do zapoznania się ze stanem faktycznym nieruchomości, będącej przedmiotem przetargu poprzez dokonanie oględzin terenu oraz do zapoznania się z dokumentacją formalno-prawną (</w:t>
      </w:r>
      <w:r w:rsidRPr="00D54CB3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w tym </w:t>
      </w:r>
      <w:r w:rsidR="00D54CB3" w:rsidRPr="00D54CB3">
        <w:rPr>
          <w:rFonts w:ascii="Garamond" w:eastAsia="Times New Roman" w:hAnsi="Garamond" w:cs="Times New Roman"/>
          <w:bCs/>
          <w:sz w:val="20"/>
          <w:szCs w:val="20"/>
          <w:lang w:eastAsia="pl-PL"/>
        </w:rPr>
        <w:t>miejscowym planem zagospodarowania przestrzennego terenu położonego w obrębie ulic Spokojnej, Sikorskiego, 1-go Maja i Kosynierów</w:t>
      </w:r>
      <w:r w:rsidR="00D54CB3">
        <w:rPr>
          <w:rFonts w:ascii="Garamond" w:eastAsia="Times New Roman" w:hAnsi="Garamond" w:cs="Times New Roman"/>
          <w:bCs/>
          <w:sz w:val="20"/>
          <w:szCs w:val="20"/>
          <w:lang w:eastAsia="pl-PL"/>
        </w:rPr>
        <w:t>, uchwalonego uchwałą Rady Miejskiej w Gubinie nr XVII/214/08 z dnia 24 kwietnia 2008 r.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). 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lastRenderedPageBreak/>
        <w:t>Zbycie przedmiotow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ych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nieruchomości odbędzie się w stanie istniejącego zainwestowania i istniejącej infrastruktury, w związku z czym nabywający przejmie nieruchomość w stanie faktycznym i prawnym. 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 do sprawdzenia czy przedmiotowe nieruchomości odpowiadają jego planowanym zamierzeniom inwestycyjnym.</w:t>
      </w:r>
    </w:p>
    <w:p w:rsidR="009C4136" w:rsidRPr="009C4136" w:rsidRDefault="009C4136" w:rsidP="009C4136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 przypadku wystąpienia konieczności usunięcia drzew i krzewów rosnących na w/w działkach,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7A6632" w:rsidRDefault="007A6632" w:rsidP="007A6632">
      <w:pPr>
        <w:spacing w:after="0" w:line="240" w:lineRule="auto"/>
        <w:ind w:left="-709" w:right="-851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nieruchomości przejmuje wraz z gruntem obowiązek usunięcia z terenu wszystkich bezumownych użytkowników.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Przetarg przeprowadzi komisja w składzie wyznaczonym w § 1 Zarządzenia nr I/2010 Burmistrza Miasta Gubina z dnia 5 stycznia 2010 r.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:rsidR="007A6632" w:rsidRPr="00E32468" w:rsidRDefault="007A6632" w:rsidP="007A6632">
      <w:pPr>
        <w:spacing w:after="0" w:line="240" w:lineRule="auto"/>
        <w:ind w:left="-709" w:right="-599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</w:pPr>
      <w:r w:rsidRPr="00E32468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Dotyczy nieruchomości oddawanej w użytkowanie wieczyste:</w:t>
      </w:r>
    </w:p>
    <w:p w:rsidR="007A6632" w:rsidRPr="00E32468" w:rsidRDefault="007A6632" w:rsidP="007A6632">
      <w:pPr>
        <w:spacing w:after="0" w:line="240" w:lineRule="auto"/>
        <w:ind w:left="-709" w:right="-599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E3246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Pierwsza opłata roczna z tytułu nabycia prawa użytkowania wieczystego gruntu wynosi 25% ceny nabycia nieruchomości (do której należy doliczyć podatek VAT w wysokości 23%) uzyskanej w przetargu i płatna jest przed zawarciem umowy notarialnej. Pozostałe opłaty roczne za użytkowanie wieczyste wynosić będą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1</w:t>
      </w:r>
      <w:r w:rsidRPr="00E3246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% ceny wylicytowanej działki (plus VAT 23%) i są płatne do 31 marca każdego roku. Opłaty te mogą być aktualizowane w okresie trwania użytkowania wieczystego na skutek zmiany wartości rynkowej gruntów, nie częściej niż raz na 3 lata. Termin rozpoczęcia zabudowy tj. wybudowania fundamentów, ustala się w terminie dwóch lat, licząc od zawarcia umowy notarialnej oraz zakończenie zabudowy tj. wybudowanie  przynajmniej w stanie surowym  zamkniętym, w terminie pięciu lat, licząc od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daty zawarcia umowy notarialnej (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zgodnie z obowiązującymi przepisami na dzień transakcji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).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Nieruchomość sprzedawana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 xml:space="preserve">Gmina nie dysponuje danymi co do </w:t>
      </w:r>
      <w:r>
        <w:rPr>
          <w:rFonts w:ascii="Garamond" w:hAnsi="Garamond"/>
          <w:sz w:val="20"/>
          <w:szCs w:val="20"/>
        </w:rPr>
        <w:lastRenderedPageBreak/>
        <w:t xml:space="preserve">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przyjmuje nieruchomość w stanie istniejącym. 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t.j</w:t>
      </w:r>
      <w:proofErr w:type="spellEnd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 Dz. U. z 201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6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2147 z 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eastAsia="pl-PL"/>
        </w:rPr>
        <w:t>późn</w:t>
      </w:r>
      <w:proofErr w:type="spellEnd"/>
      <w:r>
        <w:rPr>
          <w:rFonts w:ascii="Garamond" w:eastAsia="Times New Roman" w:hAnsi="Garamond" w:cs="Times New Roman"/>
          <w:sz w:val="20"/>
          <w:szCs w:val="20"/>
          <w:lang w:eastAsia="pl-PL"/>
        </w:rPr>
        <w:t>. zm.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 Przetarg zostanie przeprowadzony zgodnie z Rozporządzeniem Rady Ministrów z dnia 14 września 2004 r. w sprawie sposobu i trybu przeprowadzania przetargów oraz rokowań na zbycie nieruchomości (j.t. Dz. U. 2014, poz. 1490).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jednego miesiąca, począwszy od dnia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26 października 2017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</w:t>
      </w:r>
    </w:p>
    <w:p w:rsidR="007A6632" w:rsidRDefault="007A6632" w:rsidP="007A6632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Szczegółowych informacji odnośnie zbywanych nieruchomości można uzyskać w Wydziale Nieruchomości i Gospodarki Przestrzennej Urzędu Miejskiego w Gubinie,  ul. Piastowska 24, tel. (68) 4558141, w godzinach pracy urzędu. Ogłoszenie o przetargu jest zamieszczone na stronie internetowej Urzędu Miejskiego w Gubinie </w:t>
      </w:r>
      <w:hyperlink r:id="rId5" w:history="1">
        <w:r>
          <w:rPr>
            <w:rStyle w:val="Hipercze"/>
            <w:rFonts w:ascii="Garamond" w:eastAsia="Times New Roman" w:hAnsi="Garamond" w:cs="Times New Roman"/>
            <w:sz w:val="20"/>
            <w:szCs w:val="20"/>
            <w:lang w:eastAsia="pl-PL"/>
          </w:rPr>
          <w:t>www.bip.gubin.pl</w:t>
        </w:r>
      </w:hyperlink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</w:t>
      </w:r>
      <w:r>
        <w:rPr>
          <w:rFonts w:ascii="Garamond" w:hAnsi="Garamond"/>
          <w:sz w:val="20"/>
          <w:szCs w:val="20"/>
        </w:rPr>
        <w:t xml:space="preserve">www.przetargi-komunikaty.pl. </w:t>
      </w:r>
    </w:p>
    <w:p w:rsidR="007A6632" w:rsidRDefault="007A6632" w:rsidP="007A6632">
      <w:pPr>
        <w:spacing w:after="200" w:line="276" w:lineRule="auto"/>
        <w:ind w:left="-709" w:right="-709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A34957" w:rsidRDefault="00A34957"/>
    <w:sectPr w:rsidR="00A34957" w:rsidSect="007A6632">
      <w:pgSz w:w="16838" w:h="11906" w:orient="landscape"/>
      <w:pgMar w:top="28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B6"/>
    <w:rsid w:val="00005DB6"/>
    <w:rsid w:val="001D72CF"/>
    <w:rsid w:val="001F5B67"/>
    <w:rsid w:val="002836A4"/>
    <w:rsid w:val="003A5B89"/>
    <w:rsid w:val="004B726A"/>
    <w:rsid w:val="004D039A"/>
    <w:rsid w:val="00586B29"/>
    <w:rsid w:val="00587050"/>
    <w:rsid w:val="00750202"/>
    <w:rsid w:val="007A6632"/>
    <w:rsid w:val="00870EC2"/>
    <w:rsid w:val="009C4136"/>
    <w:rsid w:val="009F2AE3"/>
    <w:rsid w:val="00A34957"/>
    <w:rsid w:val="00B067CC"/>
    <w:rsid w:val="00B851D5"/>
    <w:rsid w:val="00B91272"/>
    <w:rsid w:val="00C3764D"/>
    <w:rsid w:val="00CB181D"/>
    <w:rsid w:val="00D00591"/>
    <w:rsid w:val="00D54CB3"/>
    <w:rsid w:val="00ED3E4C"/>
    <w:rsid w:val="00FC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7B2CB-CAB5-4FC0-AE20-F6DE46F3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63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663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870EC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0EC2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gubin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2442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8</cp:revision>
  <cp:lastPrinted>2017-10-19T08:19:00Z</cp:lastPrinted>
  <dcterms:created xsi:type="dcterms:W3CDTF">2017-10-10T07:25:00Z</dcterms:created>
  <dcterms:modified xsi:type="dcterms:W3CDTF">2017-10-19T08:19:00Z</dcterms:modified>
</cp:coreProperties>
</file>