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6AB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95825A" wp14:editId="54B6BBC4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3507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45A157EF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59B7588B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9CCBBD6" w14:textId="77777777"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14:paraId="6E4EFDCC" w14:textId="785246F4"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30E49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  <w:r w:rsidR="004C0546">
        <w:rPr>
          <w:rFonts w:ascii="Garamond" w:eastAsia="Times New Roman" w:hAnsi="Garamond"/>
          <w:b/>
          <w:bCs/>
          <w:sz w:val="24"/>
          <w:szCs w:val="24"/>
          <w:lang w:eastAsia="pl-PL"/>
        </w:rPr>
        <w:t>usługowe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528"/>
        <w:gridCol w:w="5953"/>
      </w:tblGrid>
      <w:tr w:rsidR="003D2470" w:rsidRPr="00103082" w14:paraId="2676DA6A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B5B0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F957A" w14:textId="77777777"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27CF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1CC6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92F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46A1396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907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91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3317EEE0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C9D6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35D2F50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90DEE2B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14:paraId="472B320E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5D27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84E1D" w14:textId="12D5BAB9" w:rsidR="003D2470" w:rsidRPr="00103082" w:rsidRDefault="004C0546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14/13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9866E" w14:textId="16839D69" w:rsidR="003D2470" w:rsidRPr="00103082" w:rsidRDefault="004C0546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4099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6DFE8" w14:textId="2CDD4D1E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4C0546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Koszarowa</w:t>
            </w:r>
          </w:p>
          <w:p w14:paraId="5098BF17" w14:textId="4BC1A77E" w:rsidR="003D2470" w:rsidRPr="00103082" w:rsidRDefault="003D2470" w:rsidP="007214A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F4703D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7C035" w14:textId="2BD0F818" w:rsidR="003D2470" w:rsidRPr="00103082" w:rsidRDefault="00066958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326.200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5657A" w14:textId="733740F5" w:rsidR="003D2470" w:rsidRPr="00103082" w:rsidRDefault="00066958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32.620</w:t>
            </w:r>
            <w:r w:rsidR="007549EB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EA5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75F8" w14:textId="2DC19E88" w:rsidR="00F4703D" w:rsidRDefault="00DF059B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</w:t>
            </w:r>
            <w:r w:rsidR="003D6B8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edmiotowa nieruchomość znajduje się </w:t>
            </w:r>
            <w:r w:rsidR="00F4658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w pośredniej strefie miasta, przy ul.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Koszarowej</w:t>
            </w:r>
            <w:r w:rsidR="00F46585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Kształt zbliżony do prostokąta.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Na dzień wizji przedmiotowa nieruchomość jest niezagospodarowana, w znacznej swojej powierzchni porośnięty samosiejkami krzewów i drzew iglastych i liściastych – stan do usunięcia. Wzdłuż granicy działki od strony wschodniej przebiega </w:t>
            </w:r>
            <w:r w:rsidR="00C6620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sieć wodociągowa i telefoniczna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</w:p>
          <w:p w14:paraId="12D66D49" w14:textId="477FFAB8" w:rsidR="003D2470" w:rsidRPr="00F4703D" w:rsidRDefault="00F4703D" w:rsidP="00F4703D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NWZ.6730.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10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.2020.W z dnia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25.09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.2020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usługowego i budynku magazynowego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wraz z infrastrukturą techniczn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ą na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części 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dział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ki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nr </w:t>
            </w:r>
            <w:proofErr w:type="spellStart"/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ewid</w:t>
            </w:r>
            <w:proofErr w:type="spellEnd"/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14/10</w:t>
            </w:r>
            <w:r w:rsidR="0089702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(numeracja przed podziałem) obręb nr 2 położonej w Gubinie przy ul. </w:t>
            </w:r>
            <w:r w:rsidR="008B1E9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Koszarowej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Zagospodarowanie terenu nastąpi na podstawie szczegółowych warunków, które zostaną określone na wniosek nabywcy w decyzji o warunkach zabudowy.</w:t>
            </w:r>
          </w:p>
        </w:tc>
      </w:tr>
      <w:tr w:rsidR="00DC4B07" w:rsidRPr="00103082" w14:paraId="012F5085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5E464" w14:textId="5115E734" w:rsidR="00DC4B07" w:rsidRPr="00103082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78E26" w14:textId="33DFC686" w:rsidR="00DC4B07" w:rsidRDefault="00DC4B07" w:rsidP="00DC4B0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14/12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4F5A9" w14:textId="3C886C9A" w:rsidR="00DC4B07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6900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47818" w14:textId="77777777" w:rsidR="00DC4B07" w:rsidRPr="00103082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Koszarowa</w:t>
            </w:r>
          </w:p>
          <w:p w14:paraId="3B114008" w14:textId="1B00204A" w:rsidR="00DC4B07" w:rsidRPr="00103082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236CB" w14:textId="26901596" w:rsidR="00DC4B07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549.200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CD2F3" w14:textId="5D9F019F" w:rsidR="00DC4B07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54.920</w:t>
            </w:r>
            <w:r w:rsidR="007549EB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9FDF" w14:textId="09BD0346" w:rsidR="00DC4B07" w:rsidRPr="00103082" w:rsidRDefault="00DC4B07" w:rsidP="00DC4B0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F53" w14:textId="46116265" w:rsidR="00DC4B07" w:rsidRDefault="00DC4B07" w:rsidP="00DC4B0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pośredniej strefie miasta, przy ul. Koszarowej. Kształt zbliżony do prostokąta. Na dzień wizji przedmiotowa nieruchomość jest niezagospodarowana, w znacznej swojej powierzchni porośnięty samosiejkami krzewów i drzew iglastych i liściastych – stan do usunięcia. Wzdłuż granicy działki od strony </w:t>
            </w:r>
            <w:r w:rsidR="00C6620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północnej (narożnik działki)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przebiega </w:t>
            </w:r>
            <w:r w:rsidR="00C6620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sieć wodociągowa i kanalizacyjna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</w:p>
          <w:p w14:paraId="305327EC" w14:textId="5276F426" w:rsidR="00DC4B07" w:rsidRDefault="00DC4B07" w:rsidP="00DC4B07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NWZ.6730.10.2020.W z dnia 25.09.2020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usługowego i budynku magazynowego wraz z infrastrukturą techniczną na części działki nr </w:t>
            </w:r>
            <w:proofErr w:type="spellStart"/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ewid</w:t>
            </w:r>
            <w:proofErr w:type="spellEnd"/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14/10 (numeracja przed podziałem) obręb nr 2 położonej w Gubinie przy ul. Koszarowej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Zagospodarowanie terenu nastąpi na podstawie szczegółowych warunków, które zostaną określone na wniosek nabywcy w decyzji o warunkach zabudowy.</w:t>
            </w:r>
          </w:p>
        </w:tc>
      </w:tr>
      <w:tr w:rsidR="007549EB" w:rsidRPr="00103082" w14:paraId="6CE4D940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2D18D" w14:textId="7A502141" w:rsidR="007549EB" w:rsidRDefault="007549EB" w:rsidP="007549E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DDFD2" w14:textId="0198D027" w:rsidR="007549EB" w:rsidRDefault="007549EB" w:rsidP="007549E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332/103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04DB5" w14:textId="0F2D7118" w:rsidR="007549EB" w:rsidRDefault="007549EB" w:rsidP="007549E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968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B5E9C" w14:textId="776BADBA" w:rsidR="007549EB" w:rsidRPr="00103082" w:rsidRDefault="007549EB" w:rsidP="007549E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Bronowicka</w:t>
            </w:r>
          </w:p>
          <w:p w14:paraId="58721176" w14:textId="5F80F454" w:rsidR="007549EB" w:rsidRPr="00103082" w:rsidRDefault="007549EB" w:rsidP="007549E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4CD9C" w14:textId="607001AA" w:rsidR="007549EB" w:rsidRDefault="007549EB" w:rsidP="007549E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73.000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0A92B" w14:textId="0EBF1BDA" w:rsidR="007549EB" w:rsidRDefault="007549EB" w:rsidP="007549E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7.300,</w:t>
            </w: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CC1B" w14:textId="34C80F35" w:rsidR="007549EB" w:rsidRPr="00103082" w:rsidRDefault="007549EB" w:rsidP="007549E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630" w14:textId="1335F83B" w:rsidR="007549EB" w:rsidRDefault="007549EB" w:rsidP="007549EB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pośredniej strefie miasta, przy ul. </w:t>
            </w:r>
            <w:r w:rsidR="007442C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Bronowickiej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Kształt zbliżony do prostokąta. </w:t>
            </w:r>
            <w:r w:rsidR="002B15F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Grunt częściowo </w:t>
            </w:r>
            <w:r w:rsidR="003434E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ogrodzony. W części ogrodzonej posadowiony jest budynek wykonany z ocieplonej</w:t>
            </w:r>
            <w:r w:rsidR="007669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blachy typu obornickiego</w:t>
            </w:r>
            <w:r w:rsidR="002B15F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przez poprzednich użytkowników.</w:t>
            </w:r>
            <w:r w:rsidR="00DD521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="007669D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Fragment gruntu objęty jest</w:t>
            </w:r>
            <w:r w:rsidR="00DD521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umową dzierżawy UD218/20 do dnia 31.12.2022 r.</w:t>
            </w:r>
          </w:p>
          <w:p w14:paraId="46733163" w14:textId="5DA6C1A1" w:rsidR="007549EB" w:rsidRDefault="007549EB" w:rsidP="007549EB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NWZ.6730.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22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.202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15.07.2021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usługowo-magazynowego wraz z niezbędną infrastrukturą na części działki nr </w:t>
            </w:r>
            <w:proofErr w:type="spellStart"/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ewid</w:t>
            </w:r>
            <w:proofErr w:type="spellEnd"/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332/97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(numeracja przed podziałem) obręb nr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7. Dojazd </w:t>
            </w:r>
            <w:r w:rsidR="007442C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do działki z ul. Bronowickiej z działki nr </w:t>
            </w:r>
            <w:proofErr w:type="spellStart"/>
            <w:r w:rsidR="007442C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ewid</w:t>
            </w:r>
            <w:proofErr w:type="spellEnd"/>
            <w:r w:rsidR="007442C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 348 poprzez działkę gminną nr </w:t>
            </w:r>
            <w:proofErr w:type="spellStart"/>
            <w:r w:rsidR="007442C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ewid</w:t>
            </w:r>
            <w:proofErr w:type="spellEnd"/>
            <w:r w:rsidR="007442C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 332/96, w uzgodnieniu z zarządcą drogi</w:t>
            </w:r>
            <w:r w:rsidR="00E85CC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oraz właścicielem działki</w:t>
            </w:r>
            <w:r w:rsidR="007442C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</w:p>
          <w:p w14:paraId="37D120D2" w14:textId="2C2FF267" w:rsidR="007549EB" w:rsidRDefault="007549EB" w:rsidP="007549EB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</w:t>
            </w:r>
          </w:p>
        </w:tc>
      </w:tr>
    </w:tbl>
    <w:p w14:paraId="5F2C2730" w14:textId="77777777"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0A48EDE7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2ADB6706" w14:textId="3AC128BB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Poz. 1. Dla nieruchomości nr 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14/13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Sąd Rejonowy w Krośnie Odrzańskim VI Zamiejscowy Wydział Ksiąg Wieczystych w Gubinie prowadzi księgę wieczystą nr ZG2K/000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08229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6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. </w:t>
      </w:r>
    </w:p>
    <w:p w14:paraId="3E0C1C2F" w14:textId="54DAF6B8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Poz. 2. Dla nieruchomości nr 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14/12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Sąd Rejonowy w Krośnie Odrzańskim VI Zamiejscowy Wydział Ksiąg Wieczystych w Gubinie prowadzi księgę wieczystą nr ZG2K/000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08229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E85CC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6.</w:t>
      </w:r>
    </w:p>
    <w:p w14:paraId="5ABC98FB" w14:textId="77777777" w:rsidR="00E85CC2" w:rsidRPr="00D754FF" w:rsidRDefault="00E85CC2" w:rsidP="00E85CC2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Poz. 2. Dla nieruchomości nr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332/103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11750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1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(w dziale III KW wpisane jest ograniczone prawo rzeczowe– nie dotyczy zbywanej nieruchomości). </w:t>
      </w:r>
    </w:p>
    <w:p w14:paraId="6F37C4C3" w14:textId="77777777" w:rsidR="00E85CC2" w:rsidRPr="00D754FF" w:rsidRDefault="00E85CC2" w:rsidP="007B5443">
      <w:pPr>
        <w:spacing w:after="0" w:line="240" w:lineRule="auto"/>
        <w:ind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</w:p>
    <w:p w14:paraId="71A20A1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Nieruchomości są wolne od obciążeń i zobowiązań </w:t>
      </w:r>
    </w:p>
    <w:p w14:paraId="706A1E72" w14:textId="1761C992" w:rsidR="00066958" w:rsidRPr="007521EE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30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czerwca 2022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3816F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11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21EF2A0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27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czerwca 2022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684EBDAA" w14:textId="50147249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3B712AB2" w14:textId="05EDA2B2" w:rsidR="00DC4B07" w:rsidRPr="003434E8" w:rsidRDefault="00DC4B07" w:rsidP="003434E8">
      <w:pPr>
        <w:spacing w:after="0" w:line="240" w:lineRule="auto"/>
        <w:ind w:left="-1134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Prawo pierwokupu w stosunku do przedmiotowej nieruchomości będzie przysługiwało na zasadach określonych w art. 3 ustawy z dnia 11 kwietnia 2003 r. o kształtowaniu ustroju rolnego (Dz. U. z 202</w:t>
      </w:r>
      <w:r w:rsidR="00F6412A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r., poz. </w:t>
      </w:r>
      <w:r w:rsidR="00F6412A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461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).</w:t>
      </w:r>
    </w:p>
    <w:p w14:paraId="2FCEFEEC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3316673F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D83A89C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3EE868E0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750C2B1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6EDF249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018CB205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0D961D9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52FA1767" w14:textId="77777777" w:rsidR="00066958" w:rsidRPr="007B5443" w:rsidRDefault="00066958" w:rsidP="00066958">
      <w:pPr>
        <w:spacing w:after="0" w:line="240" w:lineRule="auto"/>
        <w:ind w:left="-1134" w:right="-851"/>
        <w:jc w:val="both"/>
        <w:rPr>
          <w:rFonts w:ascii="Garamond" w:hAnsi="Garamond"/>
          <w:b/>
          <w:bCs/>
          <w:color w:val="C00000"/>
          <w:sz w:val="20"/>
          <w:szCs w:val="20"/>
        </w:rPr>
      </w:pPr>
      <w:bookmarkStart w:id="0" w:name="_Hlk102647228"/>
      <w:r w:rsidRPr="00C6557F">
        <w:rPr>
          <w:rFonts w:ascii="Garamond" w:hAnsi="Garamond"/>
          <w:sz w:val="20"/>
          <w:szCs w:val="20"/>
        </w:rPr>
        <w:t xml:space="preserve">Przetarg przeprowadzi komisja w składzie wyznaczonym w </w:t>
      </w:r>
      <w:r w:rsidRPr="007B5443">
        <w:rPr>
          <w:rFonts w:ascii="Garamond" w:hAnsi="Garamond"/>
          <w:color w:val="C00000"/>
          <w:sz w:val="20"/>
          <w:szCs w:val="20"/>
        </w:rPr>
        <w:t>§ 1 Zarządzenia nr 13.2022 Burmistrza Miasta Gubina z dnia 12 stycznia 2022 r.</w:t>
      </w:r>
    </w:p>
    <w:bookmarkEnd w:id="0"/>
    <w:p w14:paraId="5F609ED3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18B9E311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2E48B18F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35D07F23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1AAA206F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0BAAF714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38D568F2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6E27EBF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C94840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389AC369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24476112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6163C5C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4BA7661E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1899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70056C48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1B17E8C4" w14:textId="77777777" w:rsidR="00066958" w:rsidRDefault="00066958" w:rsidP="0006695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Pr="003434E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26 maja 2022 r</w:t>
      </w:r>
      <w:r w:rsidRPr="003434E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F495C2D" w14:textId="77777777" w:rsidR="00066958" w:rsidRDefault="00066958" w:rsidP="0006695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3C62144C" w14:textId="77777777" w:rsidR="00066958" w:rsidRDefault="00066958" w:rsidP="00066958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5C8FCC3" w14:textId="77777777"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3"/>
    <w:rsid w:val="000316D5"/>
    <w:rsid w:val="00066958"/>
    <w:rsid w:val="00072C5A"/>
    <w:rsid w:val="000E0A16"/>
    <w:rsid w:val="00100A05"/>
    <w:rsid w:val="00192036"/>
    <w:rsid w:val="001C2917"/>
    <w:rsid w:val="00212502"/>
    <w:rsid w:val="00294B29"/>
    <w:rsid w:val="00296F64"/>
    <w:rsid w:val="002B15FD"/>
    <w:rsid w:val="002B4673"/>
    <w:rsid w:val="003434E8"/>
    <w:rsid w:val="003816F2"/>
    <w:rsid w:val="003D2470"/>
    <w:rsid w:val="003D6B80"/>
    <w:rsid w:val="00423129"/>
    <w:rsid w:val="00425D7F"/>
    <w:rsid w:val="00461817"/>
    <w:rsid w:val="00473DAA"/>
    <w:rsid w:val="004A16B3"/>
    <w:rsid w:val="004A5248"/>
    <w:rsid w:val="004C0546"/>
    <w:rsid w:val="005A2341"/>
    <w:rsid w:val="005D69B4"/>
    <w:rsid w:val="005E3642"/>
    <w:rsid w:val="007214AF"/>
    <w:rsid w:val="007442C0"/>
    <w:rsid w:val="007549EB"/>
    <w:rsid w:val="00757B9E"/>
    <w:rsid w:val="007669DD"/>
    <w:rsid w:val="007705D1"/>
    <w:rsid w:val="007728EC"/>
    <w:rsid w:val="007B5443"/>
    <w:rsid w:val="007B7F0A"/>
    <w:rsid w:val="007D0986"/>
    <w:rsid w:val="008312D5"/>
    <w:rsid w:val="008576C9"/>
    <w:rsid w:val="00897027"/>
    <w:rsid w:val="008B1E96"/>
    <w:rsid w:val="00930E49"/>
    <w:rsid w:val="009435B2"/>
    <w:rsid w:val="00945183"/>
    <w:rsid w:val="00992EE5"/>
    <w:rsid w:val="00B13018"/>
    <w:rsid w:val="00B71587"/>
    <w:rsid w:val="00B73348"/>
    <w:rsid w:val="00C6620E"/>
    <w:rsid w:val="00D02113"/>
    <w:rsid w:val="00D523ED"/>
    <w:rsid w:val="00DA1070"/>
    <w:rsid w:val="00DC4B07"/>
    <w:rsid w:val="00DD5218"/>
    <w:rsid w:val="00DF059B"/>
    <w:rsid w:val="00E12E22"/>
    <w:rsid w:val="00E27DA5"/>
    <w:rsid w:val="00E85CC2"/>
    <w:rsid w:val="00E948EE"/>
    <w:rsid w:val="00EA2937"/>
    <w:rsid w:val="00EF79D3"/>
    <w:rsid w:val="00F14E38"/>
    <w:rsid w:val="00F4427D"/>
    <w:rsid w:val="00F46585"/>
    <w:rsid w:val="00F46AA0"/>
    <w:rsid w:val="00F4703D"/>
    <w:rsid w:val="00F6412A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85B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06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3C45-E4B1-48CB-A8ED-943B44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1979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22</cp:revision>
  <cp:lastPrinted>2022-05-12T11:04:00Z</cp:lastPrinted>
  <dcterms:created xsi:type="dcterms:W3CDTF">2019-10-07T08:36:00Z</dcterms:created>
  <dcterms:modified xsi:type="dcterms:W3CDTF">2022-05-12T11:04:00Z</dcterms:modified>
</cp:coreProperties>
</file>